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5E3B8B">
      <w:pPr>
        <w:spacing w:after="80" w:line="360" w:lineRule="auto"/>
        <w:jc w:val="center"/>
        <w:rPr>
          <w:rFonts w:ascii="Inter" w:hAnsi="Inter"/>
          <w:color w:val="000000"/>
        </w:rPr>
      </w:pPr>
      <w:r>
        <w:rPr>
          <w:rFonts w:ascii="Inter" w:hAnsi="Inter"/>
          <w:b/>
          <w:bCs/>
          <w:color w:val="000000"/>
        </w:rPr>
        <w:t>FEDERAL DEMOCRATIC REPUBLIC OF ETHIOPIA</w:t>
      </w:r>
    </w:p>
    <w:p w:rsidR="00FB0435" w:rsidRDefault="005E3B8B">
      <w:pPr>
        <w:spacing w:after="400" w:line="360" w:lineRule="auto"/>
        <w:jc w:val="center"/>
        <w:rPr>
          <w:rFonts w:ascii="Inter" w:hAnsi="Inter"/>
        </w:rPr>
      </w:pPr>
      <w:r>
        <w:rPr>
          <w:rFonts w:ascii="Inter" w:hAnsi="Inter"/>
          <w:b/>
          <w:bCs/>
          <w:color w:val="1F4E79"/>
        </w:rPr>
        <w:t>MINISTRY OF WATER AND ENERGY (</w:t>
      </w:r>
      <w:proofErr w:type="spellStart"/>
      <w:r>
        <w:rPr>
          <w:rFonts w:ascii="Inter" w:hAnsi="Inter"/>
          <w:b/>
          <w:bCs/>
          <w:color w:val="1F4E79"/>
        </w:rPr>
        <w:t>MoWE</w:t>
      </w:r>
      <w:proofErr w:type="spellEnd"/>
      <w:r>
        <w:rPr>
          <w:rFonts w:ascii="Inter" w:hAnsi="Inter"/>
          <w:b/>
          <w:bCs/>
          <w:color w:val="1F4E79"/>
        </w:rPr>
        <w:t>)</w:t>
      </w:r>
    </w:p>
    <w:p w:rsidR="00FB0435" w:rsidRDefault="00FB0435">
      <w:pPr>
        <w:pBdr>
          <w:bottom w:val="single" w:sz="18" w:space="0" w:color="2E75B6"/>
        </w:pBdr>
        <w:spacing w:after="400" w:line="360" w:lineRule="auto"/>
        <w:rPr>
          <w:rFonts w:ascii="Inter" w:hAnsi="Inter"/>
        </w:rPr>
      </w:pPr>
    </w:p>
    <w:p w:rsidR="00FB0435" w:rsidRDefault="005E3B8B">
      <w:pPr>
        <w:spacing w:after="80" w:line="360" w:lineRule="auto"/>
        <w:jc w:val="center"/>
        <w:rPr>
          <w:rFonts w:ascii="Inter" w:hAnsi="Inter"/>
          <w:b/>
          <w:bCs/>
          <w:color w:val="000000"/>
        </w:rPr>
      </w:pPr>
      <w:r>
        <w:rPr>
          <w:rFonts w:ascii="Inter" w:hAnsi="Inter"/>
          <w:b/>
          <w:bCs/>
          <w:color w:val="000000"/>
        </w:rPr>
        <w:t>TERMS OF REFERENCE (</w:t>
      </w:r>
      <w:proofErr w:type="spellStart"/>
      <w:r>
        <w:rPr>
          <w:rFonts w:ascii="Inter" w:hAnsi="Inter"/>
          <w:b/>
          <w:bCs/>
          <w:color w:val="000000"/>
        </w:rPr>
        <w:t>ToR</w:t>
      </w:r>
      <w:proofErr w:type="spellEnd"/>
      <w:r>
        <w:rPr>
          <w:rFonts w:ascii="Inter" w:hAnsi="Inter"/>
          <w:b/>
          <w:bCs/>
          <w:color w:val="000000"/>
        </w:rPr>
        <w:t>)</w:t>
      </w:r>
    </w:p>
    <w:p w:rsidR="00FB0435" w:rsidRDefault="005E3B8B">
      <w:pPr>
        <w:spacing w:line="360" w:lineRule="auto"/>
        <w:jc w:val="center"/>
        <w:rPr>
          <w:rFonts w:ascii="Inter" w:hAnsi="Inter"/>
        </w:rPr>
      </w:pPr>
      <w:r>
        <w:rPr>
          <w:rFonts w:ascii="Inter" w:hAnsi="Inter"/>
          <w:b/>
          <w:bCs/>
          <w:color w:val="1F4E79"/>
        </w:rPr>
        <w:t>BIOGAS TECHNICAL FEASIBILITY STUDY FOR ETHIOPIA</w:t>
      </w:r>
    </w:p>
    <w:p w:rsidR="00FB0435" w:rsidRDefault="005E3B8B">
      <w:pPr>
        <w:spacing w:after="800" w:line="360" w:lineRule="auto"/>
        <w:jc w:val="center"/>
        <w:rPr>
          <w:rFonts w:ascii="Inter" w:hAnsi="Inter"/>
        </w:rPr>
      </w:pPr>
      <w:r>
        <w:rPr>
          <w:rFonts w:ascii="Inter" w:hAnsi="Inter"/>
          <w:i/>
          <w:iCs/>
          <w:color w:val="2E75B6"/>
        </w:rPr>
        <w:t>Household, Commercial, and Institutional Biogas Potential Assessment</w:t>
      </w:r>
    </w:p>
    <w:p w:rsidR="00FB0435" w:rsidRDefault="005E3B8B">
      <w:pPr>
        <w:spacing w:after="80" w:line="360" w:lineRule="auto"/>
        <w:jc w:val="center"/>
        <w:rPr>
          <w:rFonts w:ascii="Inter" w:hAnsi="Inter"/>
          <w:b/>
          <w:bCs/>
          <w:color w:val="000000"/>
        </w:rPr>
      </w:pPr>
      <w:r>
        <w:rPr>
          <w:rFonts w:ascii="Inter" w:hAnsi="Inter"/>
          <w:b/>
          <w:bCs/>
          <w:color w:val="000000"/>
        </w:rPr>
        <w:t xml:space="preserve">Covering All 14 Regional States </w:t>
      </w:r>
      <w:r>
        <w:rPr>
          <w:rFonts w:ascii="Inter" w:hAnsi="Inter"/>
          <w:b/>
          <w:bCs/>
          <w:color w:val="000000"/>
        </w:rPr>
        <w:t>of Ethiopia</w:t>
      </w: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FB0435">
      <w:pPr>
        <w:pStyle w:val="Heading1"/>
        <w:spacing w:before="160"/>
        <w:rPr>
          <w:rFonts w:ascii="Inter" w:hAnsi="Inter"/>
          <w:color w:val="002060"/>
          <w:sz w:val="24"/>
          <w:szCs w:val="24"/>
        </w:rPr>
      </w:pPr>
    </w:p>
    <w:p w:rsidR="00FB0435" w:rsidRDefault="005E3B8B">
      <w:pPr>
        <w:pStyle w:val="Heading1"/>
        <w:spacing w:before="160"/>
        <w:jc w:val="right"/>
        <w:rPr>
          <w:rFonts w:ascii="Inter" w:hAnsi="Inter"/>
          <w:color w:val="002060"/>
          <w:sz w:val="24"/>
          <w:szCs w:val="24"/>
        </w:rPr>
      </w:pPr>
      <w:bookmarkStart w:id="0" w:name="_Toc231616943"/>
      <w:r>
        <w:rPr>
          <w:rFonts w:ascii="Inter" w:hAnsi="Inter"/>
          <w:color w:val="002060"/>
          <w:sz w:val="24"/>
          <w:szCs w:val="24"/>
        </w:rPr>
        <w:t>Addis Ababa</w:t>
      </w:r>
      <w:bookmarkEnd w:id="0"/>
    </w:p>
    <w:p w:rsidR="00FB0435" w:rsidRDefault="005E3B8B">
      <w:pPr>
        <w:pStyle w:val="Heading1"/>
        <w:spacing w:before="160"/>
        <w:jc w:val="right"/>
        <w:rPr>
          <w:rFonts w:ascii="Inter" w:hAnsi="Inter"/>
          <w:color w:val="002060"/>
          <w:sz w:val="24"/>
          <w:szCs w:val="24"/>
        </w:rPr>
      </w:pPr>
      <w:bookmarkStart w:id="1" w:name="_Toc231616944"/>
      <w:r>
        <w:rPr>
          <w:rFonts w:ascii="Inter" w:hAnsi="Inter"/>
          <w:color w:val="002060"/>
          <w:sz w:val="24"/>
          <w:szCs w:val="24"/>
        </w:rPr>
        <w:t>June 2026</w:t>
      </w:r>
      <w:bookmarkEnd w:id="1"/>
    </w:p>
    <w:sdt>
      <w:sdtPr>
        <w:rPr>
          <w:rFonts w:ascii="Arial" w:eastAsia="Arial" w:hAnsi="Arial" w:cs="Arial"/>
          <w:color w:val="404040"/>
          <w:sz w:val="24"/>
          <w:szCs w:val="24"/>
        </w:rPr>
        <w:id w:val="379749038"/>
        <w:docPartObj>
          <w:docPartGallery w:val="Table of Contents"/>
          <w:docPartUnique/>
        </w:docPartObj>
      </w:sdtPr>
      <w:sdtEndPr>
        <w:rPr>
          <w:b/>
          <w:bCs/>
        </w:rPr>
      </w:sdtEndPr>
      <w:sdtContent>
        <w:p w:rsidR="00FB0435" w:rsidRDefault="005E3B8B">
          <w:pPr>
            <w:pStyle w:val="TOCHeading1"/>
          </w:pPr>
          <w:r>
            <w:t>Contents</w:t>
          </w:r>
        </w:p>
        <w:p w:rsidR="00FB0435" w:rsidRDefault="005E3B8B">
          <w:pPr>
            <w:pStyle w:val="TOC1"/>
            <w:tabs>
              <w:tab w:val="right" w:leader="dot" w:pos="9350"/>
            </w:tabs>
          </w:pPr>
          <w:r>
            <w:fldChar w:fldCharType="begin"/>
          </w:r>
          <w:r>
            <w:instrText xml:space="preserve"> TOC \o "1-3" \h \z \u </w:instrText>
          </w:r>
          <w:r>
            <w:fldChar w:fldCharType="separate"/>
          </w:r>
          <w:hyperlink w:anchor="_Toc231616945" w:history="1">
            <w:r>
              <w:rPr>
                <w:rStyle w:val="Hyperlink"/>
                <w:rFonts w:ascii="Inter" w:hAnsi="Inter"/>
              </w:rPr>
              <w:t>1.BACKGROUND AND RATIONALE</w:t>
            </w:r>
            <w:r>
              <w:rPr>
                <w:rStyle w:val="Hyperlink"/>
                <w:rFonts w:ascii="Inter" w:hAnsi="Inter"/>
              </w:rPr>
              <w:t>..................................................................................................</w:t>
            </w:r>
            <w:r>
              <w:fldChar w:fldCharType="begin"/>
            </w:r>
            <w:r>
              <w:instrText xml:space="preserve"> PAGEREF _Toc231616945 \h </w:instrText>
            </w:r>
            <w:r>
              <w:fldChar w:fldCharType="separate"/>
            </w:r>
            <w:r>
              <w:t>2</w:t>
            </w:r>
            <w:r>
              <w:fldChar w:fldCharType="end"/>
            </w:r>
          </w:hyperlink>
        </w:p>
        <w:p w:rsidR="00FB0435" w:rsidRDefault="005E3B8B">
          <w:pPr>
            <w:pStyle w:val="TOC1"/>
            <w:tabs>
              <w:tab w:val="right" w:leader="dot" w:pos="9350"/>
            </w:tabs>
          </w:pPr>
          <w:hyperlink w:anchor="_Toc231616946" w:history="1">
            <w:r>
              <w:rPr>
                <w:rStyle w:val="Hyperlink"/>
                <w:rFonts w:ascii="Inter" w:hAnsi="Inter"/>
              </w:rPr>
              <w:t>1.1 Ethiopia’s Energy Context</w:t>
            </w:r>
            <w:r>
              <w:tab/>
            </w:r>
            <w:r>
              <w:fldChar w:fldCharType="begin"/>
            </w:r>
            <w:r>
              <w:instrText xml:space="preserve"> PAGEREF _Toc231616946 \h </w:instrText>
            </w:r>
            <w:r>
              <w:fldChar w:fldCharType="separate"/>
            </w:r>
            <w:r>
              <w:t>2</w:t>
            </w:r>
            <w:r>
              <w:fldChar w:fldCharType="end"/>
            </w:r>
          </w:hyperlink>
        </w:p>
        <w:p w:rsidR="00FB0435" w:rsidRDefault="005E3B8B">
          <w:pPr>
            <w:pStyle w:val="TOC1"/>
            <w:tabs>
              <w:tab w:val="right" w:leader="dot" w:pos="9350"/>
            </w:tabs>
          </w:pPr>
          <w:hyperlink w:anchor="_Toc231616947" w:history="1">
            <w:r>
              <w:rPr>
                <w:rStyle w:val="Hyperlink"/>
                <w:rFonts w:ascii="Inter" w:hAnsi="Inter"/>
              </w:rPr>
              <w:t>1.2 The National Biogas Programme and Its Legacy</w:t>
            </w:r>
            <w:r>
              <w:tab/>
            </w:r>
            <w:r>
              <w:fldChar w:fldCharType="begin"/>
            </w:r>
            <w:r>
              <w:instrText xml:space="preserve"> PAGEREF _Toc231616947 \h </w:instrText>
            </w:r>
            <w:r>
              <w:fldChar w:fldCharType="separate"/>
            </w:r>
            <w:r>
              <w:t>2</w:t>
            </w:r>
            <w:r>
              <w:fldChar w:fldCharType="end"/>
            </w:r>
          </w:hyperlink>
        </w:p>
        <w:p w:rsidR="00FB0435" w:rsidRDefault="005E3B8B">
          <w:pPr>
            <w:pStyle w:val="TOC1"/>
            <w:tabs>
              <w:tab w:val="right" w:leader="dot" w:pos="9350"/>
            </w:tabs>
          </w:pPr>
          <w:hyperlink w:anchor="_Toc231616948" w:history="1">
            <w:r>
              <w:rPr>
                <w:rStyle w:val="Hyperlink"/>
                <w:rFonts w:ascii="Inter" w:hAnsi="Inter"/>
              </w:rPr>
              <w:t>1.3  Rationale for a National Biogas Feasibility</w:t>
            </w:r>
            <w:r>
              <w:rPr>
                <w:rStyle w:val="Hyperlink"/>
                <w:rFonts w:ascii="Inter" w:hAnsi="Inter"/>
              </w:rPr>
              <w:t xml:space="preserve"> Study</w:t>
            </w:r>
            <w:r>
              <w:tab/>
            </w:r>
            <w:r>
              <w:fldChar w:fldCharType="begin"/>
            </w:r>
            <w:r>
              <w:instrText xml:space="preserve"> PAGEREF _Toc231616948 \h </w:instrText>
            </w:r>
            <w:r>
              <w:fldChar w:fldCharType="separate"/>
            </w:r>
            <w:r>
              <w:t>3</w:t>
            </w:r>
            <w:r>
              <w:fldChar w:fldCharType="end"/>
            </w:r>
          </w:hyperlink>
        </w:p>
        <w:p w:rsidR="00FB0435" w:rsidRDefault="005E3B8B">
          <w:pPr>
            <w:pStyle w:val="TOC1"/>
            <w:tabs>
              <w:tab w:val="right" w:leader="dot" w:pos="9350"/>
            </w:tabs>
          </w:pPr>
          <w:hyperlink w:anchor="_Toc231616949" w:history="1">
            <w:r>
              <w:rPr>
                <w:rStyle w:val="Hyperlink"/>
                <w:rFonts w:ascii="Inter" w:hAnsi="Inter"/>
              </w:rPr>
              <w:t>1.4 Benefits of Expanding Biogas Access in Ethiopia</w:t>
            </w:r>
            <w:r>
              <w:tab/>
            </w:r>
            <w:r>
              <w:fldChar w:fldCharType="begin"/>
            </w:r>
            <w:r>
              <w:instrText xml:space="preserve"> PAGEREF _Toc231616949 \h </w:instrText>
            </w:r>
            <w:r>
              <w:fldChar w:fldCharType="separate"/>
            </w:r>
            <w:r>
              <w:t>3</w:t>
            </w:r>
            <w:r>
              <w:fldChar w:fldCharType="end"/>
            </w:r>
          </w:hyperlink>
        </w:p>
        <w:p w:rsidR="00FB0435" w:rsidRDefault="005E3B8B">
          <w:pPr>
            <w:pStyle w:val="TOC1"/>
            <w:tabs>
              <w:tab w:val="right" w:leader="dot" w:pos="9350"/>
            </w:tabs>
          </w:pPr>
          <w:hyperlink w:anchor="_Toc231616950" w:history="1">
            <w:r>
              <w:rPr>
                <w:rStyle w:val="Hyperlink"/>
                <w:rFonts w:ascii="Inter" w:hAnsi="Inter"/>
              </w:rPr>
              <w:t>2. OBJECTIVES OF THE ASSIGNMENT</w:t>
            </w:r>
            <w:r>
              <w:tab/>
            </w:r>
            <w:r>
              <w:fldChar w:fldCharType="begin"/>
            </w:r>
            <w:r>
              <w:instrText xml:space="preserve"> PAGEREF _Toc231616950 \h </w:instrText>
            </w:r>
            <w:r>
              <w:fldChar w:fldCharType="separate"/>
            </w:r>
            <w:r>
              <w:t>4</w:t>
            </w:r>
            <w:r>
              <w:fldChar w:fldCharType="end"/>
            </w:r>
          </w:hyperlink>
        </w:p>
        <w:p w:rsidR="00FB0435" w:rsidRDefault="005E3B8B">
          <w:pPr>
            <w:pStyle w:val="TOC1"/>
            <w:tabs>
              <w:tab w:val="right" w:leader="dot" w:pos="9350"/>
            </w:tabs>
          </w:pPr>
          <w:hyperlink w:anchor="_Toc231616951" w:history="1">
            <w:r>
              <w:rPr>
                <w:rStyle w:val="Hyperlink"/>
                <w:rFonts w:ascii="Inter" w:hAnsi="Inter"/>
              </w:rPr>
              <w:t>3.  SCOPE OF WORK</w:t>
            </w:r>
            <w:r>
              <w:tab/>
            </w:r>
            <w:r>
              <w:fldChar w:fldCharType="begin"/>
            </w:r>
            <w:r>
              <w:instrText xml:space="preserve"> PAGEREF _Toc23161</w:instrText>
            </w:r>
            <w:r>
              <w:instrText xml:space="preserve">6951 \h </w:instrText>
            </w:r>
            <w:r>
              <w:fldChar w:fldCharType="separate"/>
            </w:r>
            <w:r>
              <w:t>6</w:t>
            </w:r>
            <w:r>
              <w:fldChar w:fldCharType="end"/>
            </w:r>
          </w:hyperlink>
        </w:p>
        <w:p w:rsidR="00FB0435" w:rsidRDefault="005E3B8B">
          <w:pPr>
            <w:pStyle w:val="TOC1"/>
            <w:tabs>
              <w:tab w:val="right" w:leader="dot" w:pos="9350"/>
            </w:tabs>
          </w:pPr>
          <w:hyperlink w:anchor="_Toc231616952" w:history="1">
            <w:r>
              <w:rPr>
                <w:rStyle w:val="Hyperlink"/>
                <w:rFonts w:ascii="Inter" w:hAnsi="Inter"/>
              </w:rPr>
              <w:t>3.1  Geographic Coverage</w:t>
            </w:r>
            <w:r>
              <w:tab/>
            </w:r>
            <w:r>
              <w:fldChar w:fldCharType="begin"/>
            </w:r>
            <w:r>
              <w:instrText xml:space="preserve"> PAGEREF _Toc231616952 \h </w:instrText>
            </w:r>
            <w:r>
              <w:fldChar w:fldCharType="separate"/>
            </w:r>
            <w:r>
              <w:t>6</w:t>
            </w:r>
            <w:r>
              <w:fldChar w:fldCharType="end"/>
            </w:r>
          </w:hyperlink>
        </w:p>
        <w:p w:rsidR="00FB0435" w:rsidRDefault="005E3B8B">
          <w:pPr>
            <w:pStyle w:val="TOC1"/>
            <w:tabs>
              <w:tab w:val="right" w:leader="dot" w:pos="9350"/>
            </w:tabs>
          </w:pPr>
          <w:hyperlink w:anchor="_Toc231616953" w:history="1">
            <w:r>
              <w:rPr>
                <w:rStyle w:val="Hyperlink"/>
                <w:rFonts w:ascii="Inter" w:hAnsi="Inter"/>
              </w:rPr>
              <w:t>3.2 Biogas Segments</w:t>
            </w:r>
            <w:r>
              <w:tab/>
            </w:r>
            <w:r>
              <w:fldChar w:fldCharType="begin"/>
            </w:r>
            <w:r>
              <w:instrText xml:space="preserve"> PAGEREF _Toc231616953 \h </w:instrText>
            </w:r>
            <w:r>
              <w:fldChar w:fldCharType="separate"/>
            </w:r>
            <w:r>
              <w:t>6</w:t>
            </w:r>
            <w:r>
              <w:fldChar w:fldCharType="end"/>
            </w:r>
          </w:hyperlink>
        </w:p>
        <w:p w:rsidR="00FB0435" w:rsidRDefault="005E3B8B">
          <w:pPr>
            <w:pStyle w:val="TOC1"/>
            <w:tabs>
              <w:tab w:val="right" w:leader="dot" w:pos="9350"/>
            </w:tabs>
          </w:pPr>
          <w:hyperlink w:anchor="_Toc231616954" w:history="1">
            <w:r>
              <w:rPr>
                <w:rStyle w:val="Hyperlink"/>
                <w:rFonts w:ascii="Inter" w:hAnsi="Inter"/>
              </w:rPr>
              <w:t>The scope of the survey shall encompass three distinct biogas segments:</w:t>
            </w:r>
            <w:r>
              <w:tab/>
            </w:r>
            <w:r>
              <w:fldChar w:fldCharType="begin"/>
            </w:r>
            <w:r>
              <w:instrText xml:space="preserve"> PAGEREF _Toc231616954 \h </w:instrText>
            </w:r>
            <w:r>
              <w:fldChar w:fldCharType="separate"/>
            </w:r>
            <w:r>
              <w:t>6</w:t>
            </w:r>
            <w:r>
              <w:fldChar w:fldCharType="end"/>
            </w:r>
          </w:hyperlink>
        </w:p>
        <w:p w:rsidR="00FB0435" w:rsidRDefault="005E3B8B">
          <w:pPr>
            <w:pStyle w:val="TOC1"/>
            <w:tabs>
              <w:tab w:val="right" w:leader="dot" w:pos="9350"/>
            </w:tabs>
          </w:pPr>
          <w:hyperlink w:anchor="_Toc231616955" w:history="1">
            <w:r>
              <w:rPr>
                <w:rStyle w:val="Hyperlink"/>
                <w:rFonts w:ascii="Inter" w:hAnsi="Inter"/>
              </w:rPr>
              <w:t>3.2.1 Household Biogas</w:t>
            </w:r>
            <w:r>
              <w:tab/>
            </w:r>
            <w:r>
              <w:fldChar w:fldCharType="begin"/>
            </w:r>
            <w:r>
              <w:instrText xml:space="preserve"> PAGEREF _Toc231616955 \h </w:instrText>
            </w:r>
            <w:r>
              <w:fldChar w:fldCharType="separate"/>
            </w:r>
            <w:r>
              <w:t>6</w:t>
            </w:r>
            <w:r>
              <w:fldChar w:fldCharType="end"/>
            </w:r>
          </w:hyperlink>
        </w:p>
        <w:p w:rsidR="00FB0435" w:rsidRDefault="005E3B8B">
          <w:pPr>
            <w:pStyle w:val="TOC1"/>
            <w:tabs>
              <w:tab w:val="right" w:leader="dot" w:pos="9350"/>
            </w:tabs>
          </w:pPr>
          <w:hyperlink w:anchor="_Toc231616956" w:history="1">
            <w:r>
              <w:rPr>
                <w:rStyle w:val="Hyperlink"/>
                <w:rFonts w:ascii="Inter" w:hAnsi="Inter"/>
              </w:rPr>
              <w:t>3.2.</w:t>
            </w:r>
            <w:r>
              <w:rPr>
                <w:rStyle w:val="Hyperlink"/>
                <w:rFonts w:ascii="Inter" w:hAnsi="Inter"/>
              </w:rPr>
              <w:t>2 Commercial Biogas</w:t>
            </w:r>
            <w:r>
              <w:tab/>
            </w:r>
            <w:r>
              <w:fldChar w:fldCharType="begin"/>
            </w:r>
            <w:r>
              <w:instrText xml:space="preserve"> PAGEREF _Toc231616956 \h </w:instrText>
            </w:r>
            <w:r>
              <w:fldChar w:fldCharType="separate"/>
            </w:r>
            <w:r>
              <w:t>7</w:t>
            </w:r>
            <w:r>
              <w:fldChar w:fldCharType="end"/>
            </w:r>
          </w:hyperlink>
        </w:p>
        <w:p w:rsidR="00FB0435" w:rsidRDefault="005E3B8B">
          <w:pPr>
            <w:pStyle w:val="TOC1"/>
            <w:tabs>
              <w:tab w:val="right" w:leader="dot" w:pos="9350"/>
            </w:tabs>
          </w:pPr>
          <w:hyperlink w:anchor="_Toc231616957" w:history="1">
            <w:r>
              <w:rPr>
                <w:rStyle w:val="Hyperlink"/>
                <w:rFonts w:ascii="Inter" w:hAnsi="Inter"/>
              </w:rPr>
              <w:t>3.2.3 Institutional Biogas</w:t>
            </w:r>
            <w:r>
              <w:tab/>
            </w:r>
            <w:r>
              <w:fldChar w:fldCharType="begin"/>
            </w:r>
            <w:r>
              <w:instrText xml:space="preserve"> PAGEREF _Toc231616957 \h </w:instrText>
            </w:r>
            <w:r>
              <w:fldChar w:fldCharType="separate"/>
            </w:r>
            <w:r>
              <w:t>7</w:t>
            </w:r>
            <w:r>
              <w:fldChar w:fldCharType="end"/>
            </w:r>
          </w:hyperlink>
        </w:p>
        <w:p w:rsidR="00FB0435" w:rsidRDefault="005E3B8B">
          <w:pPr>
            <w:pStyle w:val="TOC1"/>
            <w:tabs>
              <w:tab w:val="right" w:leader="dot" w:pos="9350"/>
            </w:tabs>
          </w:pPr>
          <w:hyperlink w:anchor="_Toc231616958" w:history="1">
            <w:r>
              <w:rPr>
                <w:rStyle w:val="Hyperlink"/>
                <w:rFonts w:ascii="Inter" w:hAnsi="Inter"/>
              </w:rPr>
              <w:t>3.3 Regional and National gap assessment and Recommendation</w:t>
            </w:r>
            <w:r>
              <w:tab/>
            </w:r>
            <w:r>
              <w:fldChar w:fldCharType="begin"/>
            </w:r>
            <w:r>
              <w:instrText xml:space="preserve"> PAGEREF _Toc231616958 \h </w:instrText>
            </w:r>
            <w:r>
              <w:fldChar w:fldCharType="separate"/>
            </w:r>
            <w:r>
              <w:t>8</w:t>
            </w:r>
            <w:r>
              <w:fldChar w:fldCharType="end"/>
            </w:r>
          </w:hyperlink>
        </w:p>
        <w:p w:rsidR="00FB0435" w:rsidRDefault="005E3B8B">
          <w:pPr>
            <w:pStyle w:val="TOC1"/>
            <w:tabs>
              <w:tab w:val="right" w:leader="dot" w:pos="9350"/>
            </w:tabs>
          </w:pPr>
          <w:hyperlink w:anchor="_Toc231616959" w:history="1">
            <w:r>
              <w:rPr>
                <w:rStyle w:val="Hyperlink"/>
                <w:rFonts w:ascii="Inter" w:hAnsi="Inter"/>
              </w:rPr>
              <w:t>3.4 Smart Village Assessment</w:t>
            </w:r>
            <w:r>
              <w:tab/>
            </w:r>
            <w:r>
              <w:fldChar w:fldCharType="begin"/>
            </w:r>
            <w:r>
              <w:instrText xml:space="preserve"> PAGEREF _Toc231616959 \h </w:instrText>
            </w:r>
            <w:r>
              <w:fldChar w:fldCharType="separate"/>
            </w:r>
            <w:r>
              <w:t>8</w:t>
            </w:r>
            <w:r>
              <w:fldChar w:fldCharType="end"/>
            </w:r>
          </w:hyperlink>
        </w:p>
        <w:p w:rsidR="00FB0435" w:rsidRDefault="005E3B8B">
          <w:pPr>
            <w:pStyle w:val="TOC1"/>
            <w:tabs>
              <w:tab w:val="right" w:leader="dot" w:pos="9350"/>
            </w:tabs>
          </w:pPr>
          <w:hyperlink w:anchor="_Toc231616960" w:history="1">
            <w:r>
              <w:rPr>
                <w:rStyle w:val="Hyperlink"/>
                <w:rFonts w:ascii="Inter" w:hAnsi="Inter"/>
              </w:rPr>
              <w:t>3.5 Stakeholder Analysis</w:t>
            </w:r>
            <w:r>
              <w:tab/>
            </w:r>
            <w:r>
              <w:fldChar w:fldCharType="begin"/>
            </w:r>
            <w:r>
              <w:instrText xml:space="preserve"> PAGEREF _Toc231616960 \h </w:instrText>
            </w:r>
            <w:r>
              <w:fldChar w:fldCharType="separate"/>
            </w:r>
            <w:r>
              <w:t>9</w:t>
            </w:r>
            <w:r>
              <w:fldChar w:fldCharType="end"/>
            </w:r>
          </w:hyperlink>
        </w:p>
        <w:p w:rsidR="00FB0435" w:rsidRDefault="005E3B8B">
          <w:pPr>
            <w:pStyle w:val="TOC1"/>
            <w:tabs>
              <w:tab w:val="right" w:leader="dot" w:pos="9350"/>
            </w:tabs>
          </w:pPr>
          <w:hyperlink w:anchor="_Toc231616961" w:history="1">
            <w:r>
              <w:rPr>
                <w:rStyle w:val="Hyperlink"/>
                <w:rFonts w:ascii="Inter" w:hAnsi="Inter"/>
              </w:rPr>
              <w:t>4.  DETAILED METHODOLOGY</w:t>
            </w:r>
            <w:r>
              <w:tab/>
            </w:r>
            <w:r>
              <w:fldChar w:fldCharType="begin"/>
            </w:r>
            <w:r>
              <w:instrText xml:space="preserve"> PAGEREF _Toc231616961 \h </w:instrText>
            </w:r>
            <w:r>
              <w:fldChar w:fldCharType="separate"/>
            </w:r>
            <w:r>
              <w:t>10</w:t>
            </w:r>
            <w:r>
              <w:fldChar w:fldCharType="end"/>
            </w:r>
          </w:hyperlink>
        </w:p>
        <w:p w:rsidR="00FB0435" w:rsidRDefault="005E3B8B">
          <w:pPr>
            <w:pStyle w:val="TOC1"/>
            <w:tabs>
              <w:tab w:val="right" w:leader="dot" w:pos="9350"/>
            </w:tabs>
          </w:pPr>
          <w:hyperlink w:anchor="_Toc231616962" w:history="1">
            <w:r>
              <w:rPr>
                <w:rStyle w:val="Hyperlink"/>
                <w:rFonts w:ascii="Inter" w:hAnsi="Inter"/>
              </w:rPr>
              <w:t>4.1  Inception a</w:t>
            </w:r>
            <w:r>
              <w:rPr>
                <w:rStyle w:val="Hyperlink"/>
                <w:rFonts w:ascii="Inter" w:hAnsi="Inter"/>
              </w:rPr>
              <w:t>nd Preparatory Phase</w:t>
            </w:r>
            <w:r>
              <w:tab/>
            </w:r>
            <w:r>
              <w:fldChar w:fldCharType="begin"/>
            </w:r>
            <w:r>
              <w:instrText xml:space="preserve"> PAGEREF _Toc231616962 \h </w:instrText>
            </w:r>
            <w:r>
              <w:fldChar w:fldCharType="separate"/>
            </w:r>
            <w:r>
              <w:t>10</w:t>
            </w:r>
            <w:r>
              <w:fldChar w:fldCharType="end"/>
            </w:r>
          </w:hyperlink>
        </w:p>
        <w:p w:rsidR="00FB0435" w:rsidRDefault="005E3B8B">
          <w:pPr>
            <w:pStyle w:val="TOC1"/>
            <w:tabs>
              <w:tab w:val="right" w:leader="dot" w:pos="9350"/>
            </w:tabs>
          </w:pPr>
          <w:hyperlink w:anchor="_Toc231616963" w:history="1">
            <w:r>
              <w:rPr>
                <w:rStyle w:val="Hyperlink"/>
                <w:rFonts w:ascii="Inter" w:hAnsi="Inter"/>
              </w:rPr>
              <w:t>4.2 Sampling Design and Survey Instruments</w:t>
            </w:r>
            <w:r>
              <w:tab/>
            </w:r>
            <w:r>
              <w:fldChar w:fldCharType="begin"/>
            </w:r>
            <w:r>
              <w:instrText xml:space="preserve"> PAGEREF _Toc231616963 \h </w:instrText>
            </w:r>
            <w:r>
              <w:fldChar w:fldCharType="separate"/>
            </w:r>
            <w:r>
              <w:t>10</w:t>
            </w:r>
            <w:r>
              <w:fldChar w:fldCharType="end"/>
            </w:r>
          </w:hyperlink>
        </w:p>
        <w:p w:rsidR="00FB0435" w:rsidRDefault="005E3B8B">
          <w:pPr>
            <w:pStyle w:val="TOC1"/>
            <w:tabs>
              <w:tab w:val="right" w:leader="dot" w:pos="9350"/>
            </w:tabs>
          </w:pPr>
          <w:hyperlink w:anchor="_Toc231616964" w:history="1">
            <w:r>
              <w:rPr>
                <w:rStyle w:val="Hyperlink"/>
                <w:rFonts w:ascii="Inter" w:hAnsi="Inter"/>
              </w:rPr>
              <w:t>4.3 Feedstock and Resource Assessment</w:t>
            </w:r>
            <w:r>
              <w:tab/>
            </w:r>
            <w:r>
              <w:fldChar w:fldCharType="begin"/>
            </w:r>
            <w:r>
              <w:instrText xml:space="preserve"> PAGEREF _Toc231616964 \h </w:instrText>
            </w:r>
            <w:r>
              <w:fldChar w:fldCharType="separate"/>
            </w:r>
            <w:r>
              <w:t>11</w:t>
            </w:r>
            <w:r>
              <w:fldChar w:fldCharType="end"/>
            </w:r>
          </w:hyperlink>
        </w:p>
        <w:p w:rsidR="00FB0435" w:rsidRDefault="005E3B8B">
          <w:pPr>
            <w:pStyle w:val="TOC1"/>
            <w:tabs>
              <w:tab w:val="right" w:leader="dot" w:pos="9350"/>
            </w:tabs>
          </w:pPr>
          <w:hyperlink w:anchor="_Toc231616965" w:history="1">
            <w:r>
              <w:rPr>
                <w:rStyle w:val="Hyperlink"/>
                <w:rFonts w:ascii="Inter" w:hAnsi="Inter"/>
              </w:rPr>
              <w:t>4.4 GHG Emission Reduc</w:t>
            </w:r>
            <w:r>
              <w:rPr>
                <w:rStyle w:val="Hyperlink"/>
                <w:rFonts w:ascii="Inter" w:hAnsi="Inter"/>
              </w:rPr>
              <w:t>tion and Carbon Finance Assessment</w:t>
            </w:r>
            <w:r>
              <w:tab/>
            </w:r>
            <w:r>
              <w:fldChar w:fldCharType="begin"/>
            </w:r>
            <w:r>
              <w:instrText xml:space="preserve"> PAGEREF _Toc231616965 \h </w:instrText>
            </w:r>
            <w:r>
              <w:fldChar w:fldCharType="separate"/>
            </w:r>
            <w:r>
              <w:t>11</w:t>
            </w:r>
            <w:r>
              <w:fldChar w:fldCharType="end"/>
            </w:r>
          </w:hyperlink>
        </w:p>
        <w:p w:rsidR="00FB0435" w:rsidRDefault="005E3B8B">
          <w:pPr>
            <w:pStyle w:val="TOC1"/>
            <w:tabs>
              <w:tab w:val="right" w:leader="dot" w:pos="9350"/>
            </w:tabs>
          </w:pPr>
          <w:hyperlink w:anchor="_Toc231616966" w:history="1">
            <w:r>
              <w:rPr>
                <w:rStyle w:val="Hyperlink"/>
                <w:rFonts w:ascii="Inter" w:hAnsi="Inter"/>
              </w:rPr>
              <w:t>5. REQUIREMENTS FOR COMPANIES DURING APPLICATION</w:t>
            </w:r>
            <w:r>
              <w:tab/>
            </w:r>
            <w:r>
              <w:fldChar w:fldCharType="begin"/>
            </w:r>
            <w:r>
              <w:instrText xml:space="preserve"> PAGEREF _Toc231616966 \h </w:instrText>
            </w:r>
            <w:r>
              <w:fldChar w:fldCharType="separate"/>
            </w:r>
            <w:r>
              <w:t>12</w:t>
            </w:r>
            <w:r>
              <w:fldChar w:fldCharType="end"/>
            </w:r>
          </w:hyperlink>
        </w:p>
        <w:p w:rsidR="00FB0435" w:rsidRDefault="005E3B8B">
          <w:pPr>
            <w:pStyle w:val="TOC1"/>
            <w:tabs>
              <w:tab w:val="right" w:leader="dot" w:pos="9350"/>
            </w:tabs>
          </w:pPr>
          <w:hyperlink w:anchor="_Toc231616967" w:history="1">
            <w:r>
              <w:rPr>
                <w:rStyle w:val="Hyperlink"/>
                <w:rFonts w:ascii="Inter" w:hAnsi="Inter"/>
              </w:rPr>
              <w:t>6. DELIVERABLES</w:t>
            </w:r>
            <w:r>
              <w:tab/>
            </w:r>
            <w:r>
              <w:fldChar w:fldCharType="begin"/>
            </w:r>
            <w:r>
              <w:instrText xml:space="preserve"> PAGEREF _Toc231616967 \h </w:instrText>
            </w:r>
            <w:r>
              <w:fldChar w:fldCharType="separate"/>
            </w:r>
            <w:r>
              <w:t>12</w:t>
            </w:r>
            <w:r>
              <w:fldChar w:fldCharType="end"/>
            </w:r>
          </w:hyperlink>
        </w:p>
        <w:p w:rsidR="00FB0435" w:rsidRDefault="005E3B8B">
          <w:pPr>
            <w:pStyle w:val="TOC1"/>
            <w:tabs>
              <w:tab w:val="right" w:leader="dot" w:pos="9350"/>
            </w:tabs>
          </w:pPr>
          <w:hyperlink w:anchor="_Toc231616968" w:history="1">
            <w:r>
              <w:rPr>
                <w:rStyle w:val="Hyperlink"/>
                <w:rFonts w:ascii="Inter" w:hAnsi="Inter"/>
              </w:rPr>
              <w:t>7. IMPLEMENTATION PERIOD AND WORK PLAN</w:t>
            </w:r>
            <w:r>
              <w:tab/>
            </w:r>
            <w:r>
              <w:fldChar w:fldCharType="begin"/>
            </w:r>
            <w:r>
              <w:instrText xml:space="preserve"> PAGEREF _Toc231616968 \h </w:instrText>
            </w:r>
            <w:r>
              <w:fldChar w:fldCharType="separate"/>
            </w:r>
            <w:r>
              <w:t>13</w:t>
            </w:r>
            <w:r>
              <w:fldChar w:fldCharType="end"/>
            </w:r>
          </w:hyperlink>
        </w:p>
        <w:p w:rsidR="00FB0435" w:rsidRDefault="005E3B8B">
          <w:pPr>
            <w:pStyle w:val="TOC1"/>
            <w:tabs>
              <w:tab w:val="right" w:leader="dot" w:pos="9350"/>
            </w:tabs>
          </w:pPr>
          <w:hyperlink w:anchor="_Toc231616969" w:history="1">
            <w:r>
              <w:rPr>
                <w:rStyle w:val="Hyperlink"/>
                <w:rFonts w:ascii="Inter" w:hAnsi="Inter"/>
              </w:rPr>
              <w:t>8. REPORTING AND COORDINATION</w:t>
            </w:r>
            <w:r>
              <w:tab/>
            </w:r>
            <w:r>
              <w:fldChar w:fldCharType="begin"/>
            </w:r>
            <w:r>
              <w:instrText xml:space="preserve"> PAGEREF _Toc231616969 \h </w:instrText>
            </w:r>
            <w:r>
              <w:fldChar w:fldCharType="separate"/>
            </w:r>
            <w:r>
              <w:t>13</w:t>
            </w:r>
            <w:r>
              <w:fldChar w:fldCharType="end"/>
            </w:r>
          </w:hyperlink>
        </w:p>
        <w:p w:rsidR="00FB0435" w:rsidRDefault="005E3B8B">
          <w:pPr>
            <w:pStyle w:val="TOC1"/>
            <w:tabs>
              <w:tab w:val="right" w:leader="dot" w:pos="9350"/>
            </w:tabs>
          </w:pPr>
          <w:hyperlink w:anchor="_Toc231616970" w:history="1">
            <w:r>
              <w:rPr>
                <w:rStyle w:val="Hyperlink"/>
                <w:rFonts w:ascii="Inter" w:hAnsi="Inter"/>
              </w:rPr>
              <w:t>10 EALUATION OF PROPOSALS</w:t>
            </w:r>
            <w:r>
              <w:tab/>
            </w:r>
            <w:r>
              <w:fldChar w:fldCharType="begin"/>
            </w:r>
            <w:r>
              <w:instrText xml:space="preserve"> PAGEREF _Toc231616970 \h </w:instrText>
            </w:r>
            <w:r>
              <w:fldChar w:fldCharType="separate"/>
            </w:r>
            <w:r>
              <w:t>14</w:t>
            </w:r>
            <w:r>
              <w:fldChar w:fldCharType="end"/>
            </w:r>
          </w:hyperlink>
        </w:p>
        <w:p w:rsidR="00FB0435" w:rsidRDefault="005E3B8B">
          <w:pPr>
            <w:pStyle w:val="TOC1"/>
            <w:tabs>
              <w:tab w:val="right" w:leader="dot" w:pos="9350"/>
            </w:tabs>
          </w:pPr>
          <w:hyperlink w:anchor="_Toc231616971" w:history="1">
            <w:r>
              <w:rPr>
                <w:rStyle w:val="Hyperlink"/>
                <w:rFonts w:ascii="Inter" w:hAnsi="Inter"/>
              </w:rPr>
              <w:t>11.  PAYMENT TERMS</w:t>
            </w:r>
            <w:r>
              <w:tab/>
            </w:r>
            <w:r>
              <w:fldChar w:fldCharType="begin"/>
            </w:r>
            <w:r>
              <w:instrText xml:space="preserve"> PAGEREF _Toc231616971 \h </w:instrText>
            </w:r>
            <w:r>
              <w:fldChar w:fldCharType="separate"/>
            </w:r>
            <w:r>
              <w:t>14</w:t>
            </w:r>
            <w:r>
              <w:fldChar w:fldCharType="end"/>
            </w:r>
          </w:hyperlink>
        </w:p>
        <w:p w:rsidR="00FB0435" w:rsidRDefault="005E3B8B">
          <w:pPr>
            <w:pStyle w:val="TOC1"/>
            <w:tabs>
              <w:tab w:val="right" w:leader="dot" w:pos="9350"/>
            </w:tabs>
          </w:pPr>
          <w:hyperlink w:anchor="_Toc231616972" w:history="1">
            <w:r>
              <w:rPr>
                <w:rStyle w:val="Hyperlink"/>
                <w:rFonts w:ascii="Inter" w:hAnsi="Inter"/>
              </w:rPr>
              <w:t xml:space="preserve">12. Lists </w:t>
            </w:r>
            <w:r>
              <w:rPr>
                <w:rStyle w:val="Hyperlink"/>
                <w:rFonts w:ascii="Inter" w:hAnsi="Inter"/>
              </w:rPr>
              <w:t>of stakeholders</w:t>
            </w:r>
            <w:r>
              <w:tab/>
            </w:r>
            <w:r>
              <w:fldChar w:fldCharType="begin"/>
            </w:r>
            <w:r>
              <w:instrText xml:space="preserve"> PAGEREF _Toc231616972 \h </w:instrText>
            </w:r>
            <w:r>
              <w:fldChar w:fldCharType="separate"/>
            </w:r>
            <w:r>
              <w:t>14</w:t>
            </w:r>
            <w:r>
              <w:fldChar w:fldCharType="end"/>
            </w:r>
          </w:hyperlink>
        </w:p>
        <w:p w:rsidR="00FB0435" w:rsidRDefault="005E3B8B">
          <w:r>
            <w:rPr>
              <w:b/>
              <w:bCs/>
            </w:rPr>
            <w:fldChar w:fldCharType="end"/>
          </w:r>
        </w:p>
      </w:sdtContent>
    </w:sdt>
    <w:p w:rsidR="00FB0435" w:rsidRDefault="00FB0435">
      <w:pPr>
        <w:pStyle w:val="Heading1"/>
        <w:spacing w:before="160"/>
        <w:jc w:val="left"/>
        <w:rPr>
          <w:rFonts w:ascii="Inter" w:hAnsi="Inter"/>
          <w:color w:val="002060"/>
          <w:sz w:val="24"/>
          <w:szCs w:val="24"/>
        </w:rPr>
      </w:pPr>
    </w:p>
    <w:p w:rsidR="00FB0435" w:rsidRDefault="00FB0435">
      <w:pPr>
        <w:pStyle w:val="Heading1"/>
        <w:spacing w:before="160"/>
        <w:jc w:val="right"/>
        <w:rPr>
          <w:rFonts w:ascii="Inter" w:hAnsi="Inter"/>
          <w:color w:val="002060"/>
          <w:sz w:val="24"/>
          <w:szCs w:val="24"/>
        </w:rPr>
      </w:pPr>
    </w:p>
    <w:p w:rsidR="00FB0435" w:rsidRDefault="005E3B8B">
      <w:pPr>
        <w:pStyle w:val="Heading1"/>
        <w:numPr>
          <w:ilvl w:val="0"/>
          <w:numId w:val="1"/>
        </w:numPr>
        <w:tabs>
          <w:tab w:val="clear" w:pos="425"/>
        </w:tabs>
        <w:spacing w:before="160"/>
        <w:ind w:left="420" w:hanging="420"/>
        <w:rPr>
          <w:rFonts w:ascii="Inter" w:hAnsi="Inter"/>
          <w:color w:val="002060"/>
          <w:sz w:val="24"/>
          <w:szCs w:val="24"/>
        </w:rPr>
      </w:pPr>
      <w:bookmarkStart w:id="2" w:name="_Toc231616945"/>
      <w:r>
        <w:rPr>
          <w:rFonts w:ascii="Inter" w:hAnsi="Inter"/>
          <w:color w:val="002060"/>
          <w:sz w:val="24"/>
          <w:szCs w:val="24"/>
        </w:rPr>
        <w:t>BACKGROUND AND RATIONALE</w:t>
      </w:r>
      <w:bookmarkEnd w:id="2"/>
    </w:p>
    <w:p w:rsidR="00FB0435" w:rsidRDefault="005E3B8B">
      <w:pPr>
        <w:pStyle w:val="Heading1"/>
        <w:spacing w:before="160"/>
        <w:rPr>
          <w:rFonts w:ascii="Inter" w:hAnsi="Inter"/>
          <w:color w:val="002060"/>
          <w:sz w:val="24"/>
          <w:szCs w:val="24"/>
        </w:rPr>
      </w:pPr>
      <w:bookmarkStart w:id="3" w:name="_Toc231616946"/>
      <w:r>
        <w:rPr>
          <w:rFonts w:ascii="Inter" w:hAnsi="Inter"/>
          <w:color w:val="002060"/>
          <w:sz w:val="24"/>
          <w:szCs w:val="24"/>
        </w:rPr>
        <w:t>1.1 Ethiopia’s Energy Context</w:t>
      </w:r>
      <w:bookmarkEnd w:id="3"/>
    </w:p>
    <w:p w:rsidR="00FB0435" w:rsidRDefault="005E3B8B">
      <w:pPr>
        <w:spacing w:line="276" w:lineRule="auto"/>
        <w:rPr>
          <w:rFonts w:ascii="Inter" w:hAnsi="Inter"/>
          <w:color w:val="000000" w:themeColor="text1"/>
        </w:rPr>
      </w:pPr>
      <w:r>
        <w:rPr>
          <w:rFonts w:ascii="Inter" w:hAnsi="Inter"/>
          <w:color w:val="000000" w:themeColor="text1"/>
        </w:rPr>
        <w:t xml:space="preserve">Ethiopia is one of the fastest-growing economies in Sub-Saharan Africa, yet </w:t>
      </w:r>
      <w:r>
        <w:rPr>
          <w:rFonts w:ascii="Inter" w:hAnsi="Inter"/>
          <w:color w:val="000000" w:themeColor="text1"/>
        </w:rPr>
        <w:t>approximately 80 percent of its population relies on traditional biomass mainly firewood and charcoal for cooking and heating. According to the International Energy Agency (IEA, 2023), the country's modern energy access rate remains among the lowest global</w:t>
      </w:r>
      <w:r>
        <w:rPr>
          <w:rFonts w:ascii="Inter" w:hAnsi="Inter"/>
          <w:color w:val="000000" w:themeColor="text1"/>
        </w:rPr>
        <w:t xml:space="preserve">ly, with rural electrification still lagging significantly behind urban </w:t>
      </w:r>
      <w:proofErr w:type="spellStart"/>
      <w:r>
        <w:rPr>
          <w:rFonts w:ascii="Inter" w:hAnsi="Inter"/>
          <w:color w:val="000000" w:themeColor="text1"/>
        </w:rPr>
        <w:t>centres</w:t>
      </w:r>
      <w:proofErr w:type="spellEnd"/>
      <w:r>
        <w:rPr>
          <w:rFonts w:ascii="Inter" w:hAnsi="Inter"/>
          <w:color w:val="000000" w:themeColor="text1"/>
        </w:rPr>
        <w:t>. Indoor air pollution from solid-fuel combustion is responsible for an estimated 40,000 premature deaths annually, disproportionately affecting women and children.</w:t>
      </w:r>
    </w:p>
    <w:p w:rsidR="00FB0435" w:rsidRDefault="005E3B8B">
      <w:pPr>
        <w:spacing w:line="276" w:lineRule="auto"/>
        <w:rPr>
          <w:rFonts w:ascii="Inter" w:hAnsi="Inter"/>
          <w:color w:val="000000" w:themeColor="text1"/>
        </w:rPr>
      </w:pPr>
      <w:r>
        <w:rPr>
          <w:rFonts w:ascii="Inter" w:hAnsi="Inter"/>
          <w:color w:val="000000" w:themeColor="text1"/>
        </w:rPr>
        <w:t>Ethiopia's 2</w:t>
      </w:r>
      <w:r>
        <w:rPr>
          <w:rFonts w:ascii="Inter" w:hAnsi="Inter"/>
          <w:color w:val="000000" w:themeColor="text1"/>
        </w:rPr>
        <w:t>021 Nationally Determined Contribution (NDC), submitted under the Paris Agreement, commits the country to achieving a 68.8 percent reduction in greenhouse gas (GHG) emissions relative to its business-as-usual trajectory by 2030. The energy sector, dominate</w:t>
      </w:r>
      <w:r>
        <w:rPr>
          <w:rFonts w:ascii="Inter" w:hAnsi="Inter"/>
          <w:color w:val="000000" w:themeColor="text1"/>
        </w:rPr>
        <w:t>d by traditional biomass consumption, is a primary driver of GHG emissions and deforestation, making the transition to modern, clean, and renewable energy sources an imperative not only for climate compliance but also for human development.</w:t>
      </w:r>
    </w:p>
    <w:p w:rsidR="00FB0435" w:rsidRDefault="005E3B8B">
      <w:pPr>
        <w:spacing w:line="276" w:lineRule="auto"/>
        <w:rPr>
          <w:rFonts w:ascii="Inter" w:hAnsi="Inter"/>
          <w:color w:val="000000" w:themeColor="text1"/>
        </w:rPr>
      </w:pPr>
      <w:r>
        <w:rPr>
          <w:rFonts w:ascii="Inter" w:hAnsi="Inter"/>
          <w:color w:val="000000" w:themeColor="text1"/>
        </w:rPr>
        <w:t xml:space="preserve">The Government </w:t>
      </w:r>
      <w:r>
        <w:rPr>
          <w:rFonts w:ascii="Inter" w:hAnsi="Inter"/>
          <w:color w:val="000000" w:themeColor="text1"/>
        </w:rPr>
        <w:t>of Ethiopia (</w:t>
      </w:r>
      <w:proofErr w:type="spellStart"/>
      <w:r>
        <w:rPr>
          <w:rFonts w:ascii="Inter" w:hAnsi="Inter"/>
          <w:color w:val="000000" w:themeColor="text1"/>
        </w:rPr>
        <w:t>GoE</w:t>
      </w:r>
      <w:proofErr w:type="spellEnd"/>
      <w:r>
        <w:rPr>
          <w:rFonts w:ascii="Inter" w:hAnsi="Inter"/>
          <w:color w:val="000000" w:themeColor="text1"/>
        </w:rPr>
        <w:t xml:space="preserve">), through its Ten-Year Development Plan (2021–2030), has identified universal energy access and green economy transition as central pillars of national development. </w:t>
      </w:r>
      <w:r>
        <w:rPr>
          <w:rFonts w:ascii="Inter" w:hAnsi="Inter"/>
          <w:b/>
          <w:color w:val="000000" w:themeColor="text1"/>
        </w:rPr>
        <w:t>Biogas produced</w:t>
      </w:r>
      <w:r>
        <w:rPr>
          <w:rFonts w:ascii="Inter" w:hAnsi="Inter"/>
          <w:color w:val="000000" w:themeColor="text1"/>
        </w:rPr>
        <w:t xml:space="preserve"> from organic </w:t>
      </w:r>
      <w:proofErr w:type="spellStart"/>
      <w:r>
        <w:rPr>
          <w:rFonts w:ascii="Inter" w:hAnsi="Inter"/>
          <w:color w:val="000000" w:themeColor="text1"/>
        </w:rPr>
        <w:t>feedstocks</w:t>
      </w:r>
      <w:proofErr w:type="spellEnd"/>
      <w:r>
        <w:rPr>
          <w:rFonts w:ascii="Inter" w:hAnsi="Inter"/>
          <w:color w:val="000000" w:themeColor="text1"/>
        </w:rPr>
        <w:t xml:space="preserve"> including livestock dung, food was</w:t>
      </w:r>
      <w:r>
        <w:rPr>
          <w:rFonts w:ascii="Inter" w:hAnsi="Inter"/>
          <w:color w:val="000000" w:themeColor="text1"/>
        </w:rPr>
        <w:t xml:space="preserve">te, and agricultural </w:t>
      </w:r>
      <w:proofErr w:type="gramStart"/>
      <w:r>
        <w:rPr>
          <w:rFonts w:ascii="Inter" w:hAnsi="Inter"/>
          <w:color w:val="000000" w:themeColor="text1"/>
        </w:rPr>
        <w:t xml:space="preserve">residues </w:t>
      </w:r>
      <w:r>
        <w:rPr>
          <w:rFonts w:ascii="Inter" w:hAnsi="Inter"/>
          <w:b/>
          <w:color w:val="000000" w:themeColor="text1"/>
        </w:rPr>
        <w:t xml:space="preserve"> </w:t>
      </w:r>
      <w:r>
        <w:rPr>
          <w:rFonts w:ascii="Inter" w:hAnsi="Inter"/>
          <w:color w:val="000000" w:themeColor="text1"/>
        </w:rPr>
        <w:t>represents</w:t>
      </w:r>
      <w:proofErr w:type="gramEnd"/>
      <w:r>
        <w:rPr>
          <w:rFonts w:ascii="Inter" w:hAnsi="Inter"/>
          <w:color w:val="000000" w:themeColor="text1"/>
        </w:rPr>
        <w:t xml:space="preserve"> one of the most viable and culturally appropriate renewable energy pathways for Ethiopia, given its large cattle population (estimated at over 70 million head, the largest in Africa), its agro-ecological diversity,</w:t>
      </w:r>
      <w:r>
        <w:rPr>
          <w:rFonts w:ascii="Inter" w:hAnsi="Inter"/>
          <w:color w:val="000000" w:themeColor="text1"/>
        </w:rPr>
        <w:t xml:space="preserve"> and the prevalence of institutional facilities such as hospitals, schools, abattoirs, and hotels that generate significant organic waste streams.</w:t>
      </w:r>
    </w:p>
    <w:p w:rsidR="00FB0435" w:rsidRDefault="005E3B8B">
      <w:pPr>
        <w:pStyle w:val="Heading1"/>
        <w:spacing w:before="160"/>
        <w:rPr>
          <w:rFonts w:ascii="Inter" w:hAnsi="Inter"/>
          <w:color w:val="002060"/>
          <w:sz w:val="24"/>
          <w:szCs w:val="24"/>
        </w:rPr>
      </w:pPr>
      <w:bookmarkStart w:id="4" w:name="_Toc231616947"/>
      <w:r>
        <w:rPr>
          <w:rFonts w:ascii="Inter" w:hAnsi="Inter"/>
          <w:color w:val="002060"/>
          <w:sz w:val="24"/>
          <w:szCs w:val="24"/>
        </w:rPr>
        <w:t xml:space="preserve">1.2 The National Biogas </w:t>
      </w:r>
      <w:proofErr w:type="spellStart"/>
      <w:r>
        <w:rPr>
          <w:rFonts w:ascii="Inter" w:hAnsi="Inter"/>
          <w:color w:val="002060"/>
          <w:sz w:val="24"/>
          <w:szCs w:val="24"/>
        </w:rPr>
        <w:t>Programme</w:t>
      </w:r>
      <w:proofErr w:type="spellEnd"/>
      <w:r>
        <w:rPr>
          <w:rFonts w:ascii="Inter" w:hAnsi="Inter"/>
          <w:color w:val="002060"/>
          <w:sz w:val="24"/>
          <w:szCs w:val="24"/>
        </w:rPr>
        <w:t xml:space="preserve"> and Its Legacy</w:t>
      </w:r>
      <w:bookmarkEnd w:id="4"/>
    </w:p>
    <w:p w:rsidR="00FB0435" w:rsidRDefault="005E3B8B">
      <w:pPr>
        <w:spacing w:line="276" w:lineRule="auto"/>
        <w:rPr>
          <w:rFonts w:ascii="Inter" w:hAnsi="Inter"/>
          <w:color w:val="000000" w:themeColor="text1"/>
        </w:rPr>
      </w:pPr>
      <w:r>
        <w:rPr>
          <w:rFonts w:ascii="Inter" w:hAnsi="Inter"/>
          <w:color w:val="000000" w:themeColor="text1"/>
        </w:rPr>
        <w:t xml:space="preserve">Ethiopia launched the National Biogas </w:t>
      </w:r>
      <w:proofErr w:type="spellStart"/>
      <w:r>
        <w:rPr>
          <w:rFonts w:ascii="Inter" w:hAnsi="Inter"/>
          <w:color w:val="000000" w:themeColor="text1"/>
        </w:rPr>
        <w:t>Programme</w:t>
      </w:r>
      <w:proofErr w:type="spellEnd"/>
      <w:r>
        <w:rPr>
          <w:rFonts w:ascii="Inter" w:hAnsi="Inter"/>
          <w:color w:val="000000" w:themeColor="text1"/>
        </w:rPr>
        <w:t xml:space="preserve"> (NBP), with </w:t>
      </w:r>
      <w:r>
        <w:rPr>
          <w:rFonts w:ascii="Inter" w:hAnsi="Inter"/>
          <w:color w:val="000000" w:themeColor="text1"/>
        </w:rPr>
        <w:t xml:space="preserve">technical and financial support from the Netherlands government and European </w:t>
      </w:r>
      <w:proofErr w:type="gramStart"/>
      <w:r>
        <w:rPr>
          <w:rFonts w:ascii="Inter" w:hAnsi="Inter"/>
          <w:color w:val="000000" w:themeColor="text1"/>
        </w:rPr>
        <w:t>union</w:t>
      </w:r>
      <w:proofErr w:type="gramEnd"/>
      <w:r>
        <w:rPr>
          <w:rFonts w:ascii="Inter" w:hAnsi="Inter"/>
          <w:color w:val="000000" w:themeColor="text1"/>
        </w:rPr>
        <w:t>, covering 11 regional states. Between 2008 and 2019, the NBP facilitated the installation of over 46,000 household biogas digesters and a number of institutional plants, gen</w:t>
      </w:r>
      <w:r>
        <w:rPr>
          <w:rFonts w:ascii="Inter" w:hAnsi="Inter"/>
          <w:color w:val="000000" w:themeColor="text1"/>
        </w:rPr>
        <w:t>erating evidence on adoption rates, technical performance, and socio-economic impact.</w:t>
      </w:r>
    </w:p>
    <w:p w:rsidR="00FB0435" w:rsidRDefault="005E3B8B">
      <w:pPr>
        <w:spacing w:line="276" w:lineRule="auto"/>
        <w:rPr>
          <w:rFonts w:ascii="Inter" w:hAnsi="Inter"/>
          <w:color w:val="000000" w:themeColor="text1"/>
        </w:rPr>
      </w:pPr>
      <w:r>
        <w:rPr>
          <w:rFonts w:ascii="Inter" w:hAnsi="Inter"/>
          <w:color w:val="000000" w:themeColor="text1"/>
        </w:rPr>
        <w:t xml:space="preserve">Notwithstanding these achievements, the </w:t>
      </w:r>
      <w:proofErr w:type="spellStart"/>
      <w:r>
        <w:rPr>
          <w:rFonts w:ascii="Inter" w:hAnsi="Inter"/>
          <w:color w:val="000000" w:themeColor="text1"/>
        </w:rPr>
        <w:t>programme</w:t>
      </w:r>
      <w:proofErr w:type="spellEnd"/>
      <w:r>
        <w:rPr>
          <w:rFonts w:ascii="Inter" w:hAnsi="Inter"/>
          <w:color w:val="000000" w:themeColor="text1"/>
        </w:rPr>
        <w:t xml:space="preserve"> achieve comprehensive geographic coverage, and critical data gaps remain with respect to: (i) actual and potential bioga</w:t>
      </w:r>
      <w:r>
        <w:rPr>
          <w:rFonts w:ascii="Inter" w:hAnsi="Inter"/>
          <w:color w:val="000000" w:themeColor="text1"/>
        </w:rPr>
        <w:t xml:space="preserve">s demand </w:t>
      </w:r>
      <w:r>
        <w:rPr>
          <w:rFonts w:ascii="Inter" w:hAnsi="Inter"/>
          <w:color w:val="000000" w:themeColor="text1"/>
        </w:rPr>
        <w:lastRenderedPageBreak/>
        <w:t>across household, commercial, and institutional segments; (ii) feedstock availability and spatial distribution; (iii) technology performance and replication models; (iv) carbon emission reduction potential; and (v) viable business models for priva</w:t>
      </w:r>
      <w:r>
        <w:rPr>
          <w:rFonts w:ascii="Inter" w:hAnsi="Inter"/>
          <w:color w:val="000000" w:themeColor="text1"/>
        </w:rPr>
        <w:t xml:space="preserve">te sector participation. Furthermore, three administrative </w:t>
      </w:r>
      <w:r>
        <w:rPr>
          <w:rFonts w:ascii="Inter" w:hAnsi="Inter"/>
          <w:b/>
          <w:color w:val="000000" w:themeColor="text1"/>
        </w:rPr>
        <w:t>regions the</w:t>
      </w:r>
      <w:r>
        <w:rPr>
          <w:rFonts w:ascii="Inter" w:hAnsi="Inter"/>
          <w:color w:val="000000" w:themeColor="text1"/>
        </w:rPr>
        <w:t xml:space="preserve"> City of Addis Ababa, </w:t>
      </w:r>
      <w:proofErr w:type="spellStart"/>
      <w:r>
        <w:rPr>
          <w:rFonts w:ascii="Inter" w:hAnsi="Inter"/>
          <w:color w:val="000000" w:themeColor="text1"/>
        </w:rPr>
        <w:t>Harari</w:t>
      </w:r>
      <w:proofErr w:type="spellEnd"/>
      <w:r>
        <w:rPr>
          <w:rFonts w:ascii="Inter" w:hAnsi="Inter"/>
          <w:color w:val="000000" w:themeColor="text1"/>
        </w:rPr>
        <w:t xml:space="preserve"> Regional State, and the City Administration of Dire </w:t>
      </w:r>
      <w:proofErr w:type="spellStart"/>
      <w:r>
        <w:rPr>
          <w:rFonts w:ascii="Inter" w:hAnsi="Inter"/>
          <w:b/>
          <w:color w:val="000000" w:themeColor="text1"/>
        </w:rPr>
        <w:t>Dawa</w:t>
      </w:r>
      <w:proofErr w:type="spellEnd"/>
      <w:r>
        <w:rPr>
          <w:rFonts w:ascii="Inter" w:hAnsi="Inter"/>
          <w:b/>
          <w:color w:val="000000" w:themeColor="text1"/>
        </w:rPr>
        <w:t xml:space="preserve"> were</w:t>
      </w:r>
      <w:r>
        <w:rPr>
          <w:rFonts w:ascii="Inter" w:hAnsi="Inter"/>
          <w:color w:val="000000" w:themeColor="text1"/>
        </w:rPr>
        <w:t xml:space="preserve"> not covered under the NBP, representing significant institutional and commercial biogas opportu</w:t>
      </w:r>
      <w:r>
        <w:rPr>
          <w:rFonts w:ascii="Inter" w:hAnsi="Inter"/>
          <w:color w:val="000000" w:themeColor="text1"/>
        </w:rPr>
        <w:t>nities that remain largely untapped.</w:t>
      </w:r>
    </w:p>
    <w:p w:rsidR="00FB0435" w:rsidRDefault="005E3B8B">
      <w:pPr>
        <w:pStyle w:val="Heading1"/>
        <w:spacing w:before="160"/>
        <w:rPr>
          <w:rFonts w:ascii="Inter" w:hAnsi="Inter"/>
          <w:color w:val="002060"/>
          <w:sz w:val="24"/>
          <w:szCs w:val="24"/>
        </w:rPr>
      </w:pPr>
      <w:bookmarkStart w:id="5" w:name="_Toc231616948"/>
      <w:proofErr w:type="gramStart"/>
      <w:r>
        <w:rPr>
          <w:rFonts w:ascii="Inter" w:hAnsi="Inter"/>
          <w:color w:val="002060"/>
          <w:sz w:val="24"/>
          <w:szCs w:val="24"/>
        </w:rPr>
        <w:t>1.3  Rationale</w:t>
      </w:r>
      <w:proofErr w:type="gramEnd"/>
      <w:r>
        <w:rPr>
          <w:rFonts w:ascii="Inter" w:hAnsi="Inter"/>
          <w:color w:val="002060"/>
          <w:sz w:val="24"/>
          <w:szCs w:val="24"/>
        </w:rPr>
        <w:t xml:space="preserve"> for a National Biogas Feasibility Study</w:t>
      </w:r>
      <w:bookmarkEnd w:id="5"/>
      <w:r>
        <w:rPr>
          <w:rFonts w:ascii="Inter" w:hAnsi="Inter"/>
          <w:color w:val="002060"/>
          <w:sz w:val="24"/>
          <w:szCs w:val="24"/>
        </w:rPr>
        <w:t xml:space="preserve"> </w:t>
      </w:r>
    </w:p>
    <w:p w:rsidR="00FB0435" w:rsidRDefault="005E3B8B">
      <w:pPr>
        <w:spacing w:line="276" w:lineRule="auto"/>
        <w:rPr>
          <w:rFonts w:ascii="Inter" w:hAnsi="Inter"/>
          <w:color w:val="000000" w:themeColor="text1"/>
        </w:rPr>
      </w:pPr>
      <w:r>
        <w:rPr>
          <w:rFonts w:ascii="Inter" w:hAnsi="Inter"/>
          <w:color w:val="000000" w:themeColor="text1"/>
        </w:rPr>
        <w:t>The Ministry of Water and Energy (</w:t>
      </w:r>
      <w:proofErr w:type="spellStart"/>
      <w:r>
        <w:rPr>
          <w:rFonts w:ascii="Inter" w:hAnsi="Inter"/>
          <w:color w:val="000000" w:themeColor="text1"/>
        </w:rPr>
        <w:t>MoWE</w:t>
      </w:r>
      <w:proofErr w:type="spellEnd"/>
      <w:r>
        <w:rPr>
          <w:rFonts w:ascii="Inter" w:hAnsi="Inter"/>
          <w:color w:val="000000" w:themeColor="text1"/>
        </w:rPr>
        <w:t xml:space="preserve">) </w:t>
      </w:r>
      <w:proofErr w:type="spellStart"/>
      <w:r>
        <w:rPr>
          <w:rFonts w:ascii="Inter" w:hAnsi="Inter"/>
          <w:color w:val="000000" w:themeColor="text1"/>
        </w:rPr>
        <w:t>recognises</w:t>
      </w:r>
      <w:proofErr w:type="spellEnd"/>
      <w:r>
        <w:rPr>
          <w:rFonts w:ascii="Inter" w:hAnsi="Inter"/>
          <w:color w:val="000000" w:themeColor="text1"/>
        </w:rPr>
        <w:t xml:space="preserve"> the imperative of commissioning a comprehensive National Biogas Survey for Ethiopia (NBSE) to fill existing data</w:t>
      </w:r>
      <w:r>
        <w:rPr>
          <w:rFonts w:ascii="Inter" w:hAnsi="Inter"/>
          <w:color w:val="000000" w:themeColor="text1"/>
        </w:rPr>
        <w:t xml:space="preserve"> gaps, generate evidence-based investment intelligence, and provide the policy and regulatory framework necessary to scale up biogas deployment across all 14 regional states. The NBSE will serve as the foundational evidence base for Ethiopia's expanded bio</w:t>
      </w:r>
      <w:r>
        <w:rPr>
          <w:rFonts w:ascii="Inter" w:hAnsi="Inter"/>
          <w:color w:val="000000" w:themeColor="text1"/>
        </w:rPr>
        <w:t>gas strategy, informing NDC implementation, Sustainable Development Goal (SDG) 7 compliance, and alignment with the Climate Resilient Green Economy (CRGE) Strategy.</w:t>
      </w:r>
    </w:p>
    <w:p w:rsidR="00FB0435" w:rsidRDefault="005E3B8B">
      <w:pPr>
        <w:spacing w:line="276" w:lineRule="auto"/>
        <w:rPr>
          <w:rFonts w:ascii="Inter" w:hAnsi="Inter"/>
          <w:color w:val="000000" w:themeColor="text1"/>
        </w:rPr>
      </w:pPr>
      <w:r>
        <w:rPr>
          <w:rFonts w:ascii="Inter" w:hAnsi="Inter"/>
          <w:color w:val="000000" w:themeColor="text1"/>
        </w:rPr>
        <w:t>Global experience underscores the value of national biogas surveys in driving policy change</w:t>
      </w:r>
      <w:r>
        <w:rPr>
          <w:rFonts w:ascii="Inter" w:hAnsi="Inter"/>
          <w:color w:val="000000" w:themeColor="text1"/>
        </w:rPr>
        <w:t xml:space="preserve"> and investment </w:t>
      </w:r>
      <w:proofErr w:type="spellStart"/>
      <w:r>
        <w:rPr>
          <w:rFonts w:ascii="Inter" w:hAnsi="Inter"/>
          <w:color w:val="000000" w:themeColor="text1"/>
        </w:rPr>
        <w:t>mobilisation</w:t>
      </w:r>
      <w:proofErr w:type="spellEnd"/>
      <w:r>
        <w:rPr>
          <w:rFonts w:ascii="Inter" w:hAnsi="Inter"/>
          <w:color w:val="000000" w:themeColor="text1"/>
        </w:rPr>
        <w:t xml:space="preserve">. Kenya's National Domestic Biogas </w:t>
      </w:r>
      <w:proofErr w:type="spellStart"/>
      <w:r>
        <w:rPr>
          <w:rFonts w:ascii="Inter" w:hAnsi="Inter"/>
          <w:color w:val="000000" w:themeColor="text1"/>
        </w:rPr>
        <w:t>Programme</w:t>
      </w:r>
      <w:proofErr w:type="spellEnd"/>
      <w:r>
        <w:rPr>
          <w:rFonts w:ascii="Inter" w:hAnsi="Inter"/>
          <w:color w:val="000000" w:themeColor="text1"/>
        </w:rPr>
        <w:t xml:space="preserve"> (2009–2021) demonstrated that a structured survey-led approach </w:t>
      </w:r>
      <w:proofErr w:type="spellStart"/>
      <w:r>
        <w:rPr>
          <w:rFonts w:ascii="Inter" w:hAnsi="Inter"/>
          <w:color w:val="000000" w:themeColor="text1"/>
        </w:rPr>
        <w:t>catalysed</w:t>
      </w:r>
      <w:proofErr w:type="spellEnd"/>
      <w:r>
        <w:rPr>
          <w:rFonts w:ascii="Inter" w:hAnsi="Inter"/>
          <w:color w:val="000000" w:themeColor="text1"/>
        </w:rPr>
        <w:t xml:space="preserve"> the deployment of over 25,000 digesters and attracted USD 6.5 million in private financing. In India, the Nati</w:t>
      </w:r>
      <w:r>
        <w:rPr>
          <w:rFonts w:ascii="Inter" w:hAnsi="Inter"/>
          <w:color w:val="000000" w:themeColor="text1"/>
        </w:rPr>
        <w:t xml:space="preserve">onal Biogas and Manure Management </w:t>
      </w:r>
      <w:proofErr w:type="spellStart"/>
      <w:r>
        <w:rPr>
          <w:rFonts w:ascii="Inter" w:hAnsi="Inter"/>
          <w:color w:val="000000" w:themeColor="text1"/>
        </w:rPr>
        <w:t>Programme</w:t>
      </w:r>
      <w:proofErr w:type="spellEnd"/>
      <w:r>
        <w:rPr>
          <w:rFonts w:ascii="Inter" w:hAnsi="Inter"/>
          <w:color w:val="000000" w:themeColor="text1"/>
        </w:rPr>
        <w:t>, backed by systematic district-level surveys, facilitated the installation of over 5 million family-size biogas plants. Similar evidence from China, Nepal, Vietnam, and Rwanda confirms that rigorous national surv</w:t>
      </w:r>
      <w:r>
        <w:rPr>
          <w:rFonts w:ascii="Inter" w:hAnsi="Inter"/>
          <w:color w:val="000000" w:themeColor="text1"/>
        </w:rPr>
        <w:t>eys are a prerequisite for achieving biogas at scale.</w:t>
      </w:r>
    </w:p>
    <w:p w:rsidR="00FB0435" w:rsidRDefault="005E3B8B">
      <w:pPr>
        <w:spacing w:line="276" w:lineRule="auto"/>
        <w:rPr>
          <w:rFonts w:ascii="Inter" w:hAnsi="Inter"/>
          <w:color w:val="000000" w:themeColor="text1"/>
        </w:rPr>
      </w:pPr>
      <w:r>
        <w:rPr>
          <w:rFonts w:ascii="Inter" w:hAnsi="Inter"/>
          <w:color w:val="000000" w:themeColor="text1"/>
        </w:rPr>
        <w:t xml:space="preserve">In the African context, the </w:t>
      </w:r>
      <w:proofErr w:type="spellStart"/>
      <w:r>
        <w:rPr>
          <w:rFonts w:ascii="Inter" w:hAnsi="Inter"/>
          <w:color w:val="000000" w:themeColor="text1"/>
        </w:rPr>
        <w:t>AfDB's</w:t>
      </w:r>
      <w:proofErr w:type="spellEnd"/>
      <w:r>
        <w:rPr>
          <w:rFonts w:ascii="Inter" w:hAnsi="Inter"/>
          <w:color w:val="000000" w:themeColor="text1"/>
        </w:rPr>
        <w:t xml:space="preserve"> Clean Cooking and Biogas Framework (2022) and the IRENA Renewable Energy Roadmap for Africa explicitly call for national-level biogas resource assessments as a conditi</w:t>
      </w:r>
      <w:r>
        <w:rPr>
          <w:rFonts w:ascii="Inter" w:hAnsi="Inter"/>
          <w:color w:val="000000" w:themeColor="text1"/>
        </w:rPr>
        <w:t>on for programmatic financing. The proposed NBSE positions Ethiopia at the forefront of continental biogas development and unlocks access to climate finance, including the Green Climate Fund (GCF), the Global Environment Facility (GEF), and bilateral green</w:t>
      </w:r>
      <w:r>
        <w:rPr>
          <w:rFonts w:ascii="Inter" w:hAnsi="Inter"/>
          <w:color w:val="000000" w:themeColor="text1"/>
        </w:rPr>
        <w:t xml:space="preserve"> bonds.</w:t>
      </w:r>
    </w:p>
    <w:p w:rsidR="00FB0435" w:rsidRDefault="005E3B8B">
      <w:pPr>
        <w:pStyle w:val="Heading1"/>
        <w:spacing w:before="160"/>
        <w:rPr>
          <w:rFonts w:ascii="Inter" w:hAnsi="Inter"/>
          <w:color w:val="002060"/>
          <w:sz w:val="24"/>
          <w:szCs w:val="24"/>
        </w:rPr>
      </w:pPr>
      <w:bookmarkStart w:id="6" w:name="_Toc231616949"/>
      <w:r>
        <w:rPr>
          <w:rFonts w:ascii="Inter" w:hAnsi="Inter"/>
          <w:color w:val="002060"/>
          <w:sz w:val="24"/>
          <w:szCs w:val="24"/>
        </w:rPr>
        <w:t>1.4 Benefits of Expanding Biogas Access in Ethiopia</w:t>
      </w:r>
      <w:bookmarkEnd w:id="6"/>
    </w:p>
    <w:p w:rsidR="00FB0435" w:rsidRDefault="005E3B8B">
      <w:pPr>
        <w:spacing w:before="160" w:line="276" w:lineRule="auto"/>
        <w:rPr>
          <w:rFonts w:ascii="Inter" w:hAnsi="Inter"/>
          <w:color w:val="000000" w:themeColor="text1"/>
        </w:rPr>
      </w:pPr>
      <w:r>
        <w:rPr>
          <w:rFonts w:ascii="Inter" w:hAnsi="Inter"/>
          <w:color w:val="000000" w:themeColor="text1"/>
        </w:rPr>
        <w:t>The expansion of biogas access across Ethiopia's household, commercial, and institutional sectors is expected to yield transformative co-benefits spanning energy, environment, economy, and health:</w:t>
      </w:r>
    </w:p>
    <w:p w:rsidR="00FB0435" w:rsidRDefault="005E3B8B">
      <w:pPr>
        <w:spacing w:before="160" w:line="276" w:lineRule="auto"/>
        <w:rPr>
          <w:rFonts w:ascii="Inter" w:hAnsi="Inter"/>
          <w:color w:val="000000" w:themeColor="text1"/>
        </w:rPr>
      </w:pPr>
      <w:r>
        <w:rPr>
          <w:rFonts w:ascii="Inter" w:hAnsi="Inter"/>
          <w:color w:val="000000" w:themeColor="text1"/>
        </w:rPr>
        <w:lastRenderedPageBreak/>
        <w:t>Energy Access and Security: Substituting traditional biomass with biogas directly contributes to SDG 7 (Affordable and Clean Energy) and reduces Ethiopia's chronic wood-fuel deficit. Household biogas plants can replace up to 50 percent of firewood consump</w:t>
      </w:r>
      <w:r>
        <w:rPr>
          <w:rFonts w:ascii="Inter" w:hAnsi="Inter"/>
          <w:color w:val="000000" w:themeColor="text1"/>
        </w:rPr>
        <w:t>tion per family.</w:t>
      </w:r>
    </w:p>
    <w:p w:rsidR="00FB0435" w:rsidRDefault="005E3B8B">
      <w:pPr>
        <w:spacing w:before="160" w:line="276" w:lineRule="auto"/>
        <w:rPr>
          <w:rFonts w:ascii="Inter" w:hAnsi="Inter"/>
        </w:rPr>
      </w:pPr>
      <w:r>
        <w:rPr>
          <w:rFonts w:ascii="Inter" w:hAnsi="Inter"/>
          <w:b/>
          <w:color w:val="002060"/>
        </w:rPr>
        <w:t>Greenhouse Gas Emission Reduction and NDC Compliance:</w:t>
      </w:r>
      <w:r>
        <w:rPr>
          <w:rFonts w:ascii="Inter" w:hAnsi="Inter"/>
        </w:rPr>
        <w:t xml:space="preserve"> </w:t>
      </w:r>
      <w:r>
        <w:rPr>
          <w:rFonts w:ascii="Inter" w:hAnsi="Inter"/>
          <w:color w:val="000000" w:themeColor="text1"/>
        </w:rPr>
        <w:t>Biogas captures methane otherwise released from livestock dung and organic waste, and displaces fossil-fuel and biomass combustion. Each household biogas plant reduces approximately 3-4</w:t>
      </w:r>
      <w:r>
        <w:rPr>
          <w:rFonts w:ascii="Inter" w:hAnsi="Inter"/>
          <w:color w:val="000000" w:themeColor="text1"/>
        </w:rPr>
        <w:t xml:space="preserve"> </w:t>
      </w:r>
      <w:proofErr w:type="spellStart"/>
      <w:r>
        <w:rPr>
          <w:rFonts w:ascii="Inter" w:hAnsi="Inter"/>
          <w:color w:val="000000" w:themeColor="text1"/>
        </w:rPr>
        <w:t>tonnes</w:t>
      </w:r>
      <w:proofErr w:type="spellEnd"/>
      <w:r>
        <w:rPr>
          <w:rFonts w:ascii="Inter" w:hAnsi="Inter"/>
          <w:color w:val="000000" w:themeColor="text1"/>
        </w:rPr>
        <w:t xml:space="preserve"> of CO₂ equivalent per annum. National-scale deployment of 500,000 digesters could contribute over 1.5 million </w:t>
      </w:r>
      <w:proofErr w:type="spellStart"/>
      <w:r>
        <w:rPr>
          <w:rFonts w:ascii="Inter" w:hAnsi="Inter"/>
          <w:color w:val="000000" w:themeColor="text1"/>
        </w:rPr>
        <w:t>tCO₂e</w:t>
      </w:r>
      <w:proofErr w:type="spellEnd"/>
      <w:r>
        <w:rPr>
          <w:rFonts w:ascii="Inter" w:hAnsi="Inter"/>
          <w:color w:val="000000" w:themeColor="text1"/>
        </w:rPr>
        <w:t xml:space="preserve">/year in annual emission </w:t>
      </w:r>
      <w:proofErr w:type="gramStart"/>
      <w:r>
        <w:rPr>
          <w:rFonts w:ascii="Inter" w:hAnsi="Inter"/>
          <w:color w:val="000000" w:themeColor="text1"/>
        </w:rPr>
        <w:t>reductions  a</w:t>
      </w:r>
      <w:proofErr w:type="gramEnd"/>
      <w:r>
        <w:rPr>
          <w:rFonts w:ascii="Inter" w:hAnsi="Inter"/>
          <w:color w:val="000000" w:themeColor="text1"/>
        </w:rPr>
        <w:t xml:space="preserve"> material contribution to Ethiopia's NDC target.</w:t>
      </w:r>
    </w:p>
    <w:p w:rsidR="00FB0435" w:rsidRDefault="005E3B8B">
      <w:pPr>
        <w:spacing w:before="160" w:line="276" w:lineRule="auto"/>
        <w:rPr>
          <w:rFonts w:ascii="Inter" w:hAnsi="Inter"/>
          <w:color w:val="000000" w:themeColor="text1"/>
        </w:rPr>
      </w:pPr>
      <w:r>
        <w:rPr>
          <w:rFonts w:ascii="Inter" w:hAnsi="Inter"/>
          <w:b/>
          <w:color w:val="002060"/>
        </w:rPr>
        <w:t>Job Creation and Economic Development:</w:t>
      </w:r>
      <w:r>
        <w:rPr>
          <w:rFonts w:ascii="Inter" w:hAnsi="Inter"/>
        </w:rPr>
        <w:t xml:space="preserve"> </w:t>
      </w:r>
      <w:r>
        <w:rPr>
          <w:rFonts w:ascii="Inter" w:hAnsi="Inter"/>
          <w:color w:val="000000" w:themeColor="text1"/>
        </w:rPr>
        <w:t>The bio</w:t>
      </w:r>
      <w:r>
        <w:rPr>
          <w:rFonts w:ascii="Inter" w:hAnsi="Inter"/>
          <w:color w:val="000000" w:themeColor="text1"/>
        </w:rPr>
        <w:t xml:space="preserve">gas value </w:t>
      </w:r>
      <w:proofErr w:type="gramStart"/>
      <w:r>
        <w:rPr>
          <w:rFonts w:ascii="Inter" w:hAnsi="Inter"/>
          <w:color w:val="000000" w:themeColor="text1"/>
        </w:rPr>
        <w:t>chain  including</w:t>
      </w:r>
      <w:proofErr w:type="gramEnd"/>
      <w:r>
        <w:rPr>
          <w:rFonts w:ascii="Inter" w:hAnsi="Inter"/>
          <w:color w:val="000000" w:themeColor="text1"/>
        </w:rPr>
        <w:t xml:space="preserve"> digester manufacturing, installation, after-sales service, feedstock collection, and bio-slurry marketing  generates substantial employment. Studies from Kenya, Nepal, and Rwanda indicate a ratio of 0.5-1.2 full-time equivalent j</w:t>
      </w:r>
      <w:r>
        <w:rPr>
          <w:rFonts w:ascii="Inter" w:hAnsi="Inter"/>
          <w:color w:val="000000" w:themeColor="text1"/>
        </w:rPr>
        <w:t>obs per installed biogas unit across the supply chain. National-scale deployment in Ethiopia could create over 50,000 direct and indirect jobs.</w:t>
      </w:r>
    </w:p>
    <w:p w:rsidR="00FB0435" w:rsidRDefault="005E3B8B">
      <w:pPr>
        <w:spacing w:before="160" w:line="276" w:lineRule="auto"/>
        <w:rPr>
          <w:rFonts w:ascii="Inter" w:hAnsi="Inter"/>
        </w:rPr>
      </w:pPr>
      <w:r>
        <w:rPr>
          <w:rFonts w:ascii="Inter" w:hAnsi="Inter"/>
          <w:b/>
          <w:color w:val="002060"/>
        </w:rPr>
        <w:t>Agriculture and Soil Fertility:</w:t>
      </w:r>
      <w:r>
        <w:rPr>
          <w:rFonts w:ascii="Inter" w:hAnsi="Inter"/>
        </w:rPr>
        <w:t xml:space="preserve"> </w:t>
      </w:r>
      <w:r>
        <w:rPr>
          <w:rFonts w:ascii="Inter" w:hAnsi="Inter"/>
          <w:color w:val="000000" w:themeColor="text1"/>
        </w:rPr>
        <w:t xml:space="preserve">Bio-slurry, the nutrient-rich effluent from biogas digesters, is an organic </w:t>
      </w:r>
      <w:r>
        <w:rPr>
          <w:rFonts w:ascii="Inter" w:hAnsi="Inter"/>
          <w:color w:val="000000" w:themeColor="text1"/>
        </w:rPr>
        <w:t>fertilizer that enhances soil health and reduces chemical fertilizer dependency. This directly supports Ethiopia's agricultural productivity agenda and smallholder farmer incomes.</w:t>
      </w:r>
    </w:p>
    <w:p w:rsidR="00FB0435" w:rsidRDefault="005E3B8B">
      <w:pPr>
        <w:spacing w:before="160" w:line="276" w:lineRule="auto"/>
        <w:rPr>
          <w:rFonts w:ascii="Inter" w:hAnsi="Inter"/>
        </w:rPr>
      </w:pPr>
      <w:r>
        <w:rPr>
          <w:rFonts w:ascii="Inter" w:hAnsi="Inter"/>
          <w:b/>
          <w:color w:val="002060"/>
        </w:rPr>
        <w:t>Public Health and Gender Equality:</w:t>
      </w:r>
      <w:r>
        <w:rPr>
          <w:rFonts w:ascii="Inter" w:hAnsi="Inter"/>
        </w:rPr>
        <w:t xml:space="preserve"> </w:t>
      </w:r>
      <w:r>
        <w:rPr>
          <w:rFonts w:ascii="Inter" w:hAnsi="Inter"/>
          <w:color w:val="000000" w:themeColor="text1"/>
        </w:rPr>
        <w:t>Reduced indoor air pollution from clean c</w:t>
      </w:r>
      <w:r>
        <w:rPr>
          <w:rFonts w:ascii="Inter" w:hAnsi="Inter"/>
          <w:color w:val="000000" w:themeColor="text1"/>
        </w:rPr>
        <w:t xml:space="preserve">ooking improves respiratory health, particularly for women and children. </w:t>
      </w:r>
      <w:proofErr w:type="gramStart"/>
      <w:r>
        <w:rPr>
          <w:rFonts w:ascii="Inter" w:hAnsi="Inter"/>
          <w:color w:val="000000" w:themeColor="text1"/>
        </w:rPr>
        <w:t>Time savings from reduced firewood collection and cooking time.</w:t>
      </w:r>
      <w:proofErr w:type="gramEnd"/>
    </w:p>
    <w:p w:rsidR="00FB0435" w:rsidRDefault="005E3B8B">
      <w:pPr>
        <w:spacing w:before="160" w:line="276" w:lineRule="auto"/>
        <w:rPr>
          <w:rFonts w:ascii="Inter" w:hAnsi="Inter"/>
          <w:color w:val="000000" w:themeColor="text1"/>
        </w:rPr>
      </w:pPr>
      <w:r>
        <w:rPr>
          <w:rFonts w:ascii="Inter" w:hAnsi="Inter"/>
          <w:b/>
          <w:color w:val="002060"/>
        </w:rPr>
        <w:t>Smart Village Development:</w:t>
      </w:r>
      <w:r>
        <w:rPr>
          <w:rFonts w:ascii="Inter" w:hAnsi="Inter"/>
          <w:color w:val="002060"/>
        </w:rPr>
        <w:t xml:space="preserve"> </w:t>
      </w:r>
      <w:r>
        <w:rPr>
          <w:rFonts w:ascii="Inter" w:hAnsi="Inter"/>
          <w:color w:val="000000" w:themeColor="text1"/>
        </w:rPr>
        <w:t xml:space="preserve">Integrated biogas </w:t>
      </w:r>
      <w:proofErr w:type="gramStart"/>
      <w:r>
        <w:rPr>
          <w:rFonts w:ascii="Inter" w:hAnsi="Inter"/>
          <w:color w:val="000000" w:themeColor="text1"/>
        </w:rPr>
        <w:t>systems  incorporating</w:t>
      </w:r>
      <w:proofErr w:type="gramEnd"/>
      <w:r>
        <w:rPr>
          <w:rFonts w:ascii="Inter" w:hAnsi="Inter"/>
          <w:color w:val="000000" w:themeColor="text1"/>
        </w:rPr>
        <w:t xml:space="preserve"> electricity generation, clean cooking, organic </w:t>
      </w:r>
      <w:proofErr w:type="spellStart"/>
      <w:r>
        <w:rPr>
          <w:rFonts w:ascii="Inter" w:hAnsi="Inter"/>
          <w:color w:val="000000" w:themeColor="text1"/>
        </w:rPr>
        <w:t>fert</w:t>
      </w:r>
      <w:r>
        <w:rPr>
          <w:rFonts w:ascii="Inter" w:hAnsi="Inter"/>
          <w:color w:val="000000" w:themeColor="text1"/>
        </w:rPr>
        <w:t>iliser</w:t>
      </w:r>
      <w:proofErr w:type="spellEnd"/>
      <w:r>
        <w:rPr>
          <w:rFonts w:ascii="Inter" w:hAnsi="Inter"/>
          <w:color w:val="000000" w:themeColor="text1"/>
        </w:rPr>
        <w:t xml:space="preserve"> production, and digital monitoring  form the cornerstone of 'smart village' models being piloted across Sub-Saharan Africa. Ethiopia's NBSE will identify suitable communities for smart village biogas hubs.</w:t>
      </w:r>
    </w:p>
    <w:p w:rsidR="00FB0435" w:rsidRDefault="005E3B8B">
      <w:pPr>
        <w:spacing w:before="160" w:line="276" w:lineRule="auto"/>
        <w:rPr>
          <w:rFonts w:ascii="Inter" w:hAnsi="Inter"/>
          <w:color w:val="000000" w:themeColor="text1"/>
        </w:rPr>
      </w:pPr>
      <w:r>
        <w:rPr>
          <w:rFonts w:ascii="Inter" w:hAnsi="Inter"/>
          <w:b/>
          <w:color w:val="002060"/>
        </w:rPr>
        <w:t>Climate Finance Mobilization:</w:t>
      </w:r>
      <w:r>
        <w:rPr>
          <w:rFonts w:ascii="Inter" w:hAnsi="Inter"/>
        </w:rPr>
        <w:t xml:space="preserve"> </w:t>
      </w:r>
      <w:r>
        <w:rPr>
          <w:rFonts w:ascii="Inter" w:hAnsi="Inter"/>
          <w:color w:val="000000" w:themeColor="text1"/>
        </w:rPr>
        <w:t>A rigorous na</w:t>
      </w:r>
      <w:r>
        <w:rPr>
          <w:rFonts w:ascii="Inter" w:hAnsi="Inter"/>
          <w:color w:val="000000" w:themeColor="text1"/>
        </w:rPr>
        <w:t>tional survey with quantified emission reduction potential positions Ethiopia to access Verified Carbon Standard (VCS) or Gold Standard carbon credits, generating revenue streams that can cross-</w:t>
      </w:r>
      <w:proofErr w:type="spellStart"/>
      <w:r>
        <w:rPr>
          <w:rFonts w:ascii="Inter" w:hAnsi="Inter"/>
          <w:color w:val="000000" w:themeColor="text1"/>
        </w:rPr>
        <w:t>subsidise</w:t>
      </w:r>
      <w:proofErr w:type="spellEnd"/>
      <w:r>
        <w:rPr>
          <w:rFonts w:ascii="Inter" w:hAnsi="Inter"/>
          <w:color w:val="000000" w:themeColor="text1"/>
        </w:rPr>
        <w:t xml:space="preserve"> biogas expansion for low-income households.</w:t>
      </w:r>
    </w:p>
    <w:p w:rsidR="00FB0435" w:rsidRDefault="00FB0435">
      <w:pPr>
        <w:spacing w:before="160" w:line="276" w:lineRule="auto"/>
        <w:rPr>
          <w:rFonts w:ascii="Inter" w:hAnsi="Inter"/>
          <w:color w:val="000000" w:themeColor="text1"/>
        </w:rPr>
      </w:pPr>
    </w:p>
    <w:p w:rsidR="00FB0435" w:rsidRDefault="005E3B8B">
      <w:pPr>
        <w:pStyle w:val="Heading1"/>
        <w:spacing w:before="160"/>
        <w:rPr>
          <w:rFonts w:ascii="Inter" w:hAnsi="Inter"/>
          <w:color w:val="002060"/>
          <w:sz w:val="24"/>
          <w:szCs w:val="24"/>
        </w:rPr>
      </w:pPr>
      <w:bookmarkStart w:id="7" w:name="_Toc231616950"/>
      <w:r>
        <w:rPr>
          <w:rFonts w:ascii="Inter" w:hAnsi="Inter"/>
          <w:color w:val="002060"/>
          <w:sz w:val="24"/>
          <w:szCs w:val="24"/>
        </w:rPr>
        <w:t>2. OBJE</w:t>
      </w:r>
      <w:r>
        <w:rPr>
          <w:rFonts w:ascii="Inter" w:hAnsi="Inter"/>
          <w:color w:val="002060"/>
          <w:sz w:val="24"/>
          <w:szCs w:val="24"/>
        </w:rPr>
        <w:t>CTIVES OF THE ASSIGNMENT</w:t>
      </w:r>
      <w:bookmarkEnd w:id="7"/>
    </w:p>
    <w:p w:rsidR="00FB0435" w:rsidRDefault="005E3B8B">
      <w:pPr>
        <w:spacing w:before="100" w:beforeAutospacing="1" w:after="100" w:afterAutospacing="1" w:line="240" w:lineRule="auto"/>
        <w:rPr>
          <w:rFonts w:ascii="Inter" w:eastAsia="Times New Roman" w:hAnsi="Inter" w:cs="Times New Roman"/>
          <w:color w:val="002060"/>
        </w:rPr>
      </w:pPr>
      <w:r>
        <w:rPr>
          <w:rFonts w:ascii="Inter" w:eastAsia="Times New Roman" w:hAnsi="Inter" w:cs="Times New Roman"/>
          <w:b/>
          <w:bCs/>
          <w:color w:val="002060"/>
        </w:rPr>
        <w:t>2.1 Main Objective</w:t>
      </w:r>
    </w:p>
    <w:p w:rsidR="00FB0435" w:rsidRDefault="005E3B8B">
      <w:p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lastRenderedPageBreak/>
        <w:t>The overall development objective of the National Biogas Technical Feasibility Study for Ethiopia (NBFSE) is to generate a comprehensive, spatially disaggregated, and evidence-based assessment of household, comme</w:t>
      </w:r>
      <w:r>
        <w:rPr>
          <w:rFonts w:ascii="Inter" w:eastAsia="Times New Roman" w:hAnsi="Inter" w:cs="Times New Roman"/>
          <w:color w:val="auto"/>
        </w:rPr>
        <w:t xml:space="preserve">rcial, and institutional biogas technical potential across all 14 regional states of Ethiopia, culminating in a bankable National Biogas Technical Feasibility Study and an actionable policy framework to guide scaled-up investment, regulatory reform, and </w:t>
      </w:r>
      <w:proofErr w:type="spellStart"/>
      <w:r>
        <w:rPr>
          <w:rFonts w:ascii="Inter" w:eastAsia="Times New Roman" w:hAnsi="Inter" w:cs="Times New Roman"/>
          <w:color w:val="auto"/>
        </w:rPr>
        <w:t>pr</w:t>
      </w:r>
      <w:r>
        <w:rPr>
          <w:rFonts w:ascii="Inter" w:eastAsia="Times New Roman" w:hAnsi="Inter" w:cs="Times New Roman"/>
          <w:color w:val="auto"/>
        </w:rPr>
        <w:t>ogramme</w:t>
      </w:r>
      <w:proofErr w:type="spellEnd"/>
      <w:r>
        <w:rPr>
          <w:rFonts w:ascii="Inter" w:eastAsia="Times New Roman" w:hAnsi="Inter" w:cs="Times New Roman"/>
          <w:color w:val="auto"/>
        </w:rPr>
        <w:t xml:space="preserve"> implementation by the Government of Ethiopia and its development partners.</w:t>
      </w:r>
    </w:p>
    <w:p w:rsidR="00FB0435" w:rsidRDefault="005E3B8B">
      <w:pPr>
        <w:spacing w:before="100" w:beforeAutospacing="1" w:after="100" w:afterAutospacing="1" w:line="240" w:lineRule="auto"/>
        <w:rPr>
          <w:rFonts w:ascii="Inter" w:eastAsia="Times New Roman" w:hAnsi="Inter" w:cs="Times New Roman"/>
          <w:b/>
          <w:bCs/>
          <w:color w:val="002060"/>
        </w:rPr>
      </w:pPr>
      <w:r>
        <w:rPr>
          <w:rFonts w:ascii="Inter" w:eastAsia="Times New Roman" w:hAnsi="Inter" w:cs="Times New Roman"/>
          <w:b/>
          <w:bCs/>
          <w:color w:val="002060"/>
        </w:rPr>
        <w:t>2.2 Specific Objectives</w:t>
      </w:r>
    </w:p>
    <w:p w:rsidR="00FB0435" w:rsidRDefault="005E3B8B">
      <w:p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The specific objectives of the NBFSE are as follows:</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To conduct a statistically representative assessment of household biogas potential across all 14</w:t>
      </w:r>
      <w:r>
        <w:rPr>
          <w:rFonts w:ascii="Inter" w:eastAsia="Times New Roman" w:hAnsi="Inter" w:cs="Times New Roman"/>
          <w:color w:val="auto"/>
        </w:rPr>
        <w:t xml:space="preserve"> regional states of Ethiopia, covering cattle ownership patterns, water access, land availability, socio-economic status, and willingness to pay.</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To conduct a statistically representative assessment of commercial biogas potential across all 14 regional sta</w:t>
      </w:r>
      <w:r>
        <w:rPr>
          <w:rFonts w:ascii="Inter" w:eastAsia="Times New Roman" w:hAnsi="Inter" w:cs="Times New Roman"/>
          <w:color w:val="auto"/>
        </w:rPr>
        <w:t>tes, covering key organic waste generators including hotels, agro-processing industries, abattoirs, cattle fattening facilities, and market waste collection points.</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To conduct a statistically representative assessment of institutional biogas potential acro</w:t>
      </w:r>
      <w:r>
        <w:rPr>
          <w:rFonts w:ascii="Inter" w:eastAsia="Times New Roman" w:hAnsi="Inter" w:cs="Times New Roman"/>
          <w:color w:val="auto"/>
        </w:rPr>
        <w:t xml:space="preserve">ss all 14 regional states, covering public and private institutions including hospitals, health </w:t>
      </w:r>
      <w:proofErr w:type="spellStart"/>
      <w:r>
        <w:rPr>
          <w:rFonts w:ascii="Inter" w:eastAsia="Times New Roman" w:hAnsi="Inter" w:cs="Times New Roman"/>
          <w:color w:val="auto"/>
        </w:rPr>
        <w:t>centres</w:t>
      </w:r>
      <w:proofErr w:type="spellEnd"/>
      <w:r>
        <w:rPr>
          <w:rFonts w:ascii="Inter" w:eastAsia="Times New Roman" w:hAnsi="Inter" w:cs="Times New Roman"/>
          <w:color w:val="auto"/>
        </w:rPr>
        <w:t>, schools, universities, and prisons.</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 xml:space="preserve">To quantify Ethiopia's technical biogas potential through spatially disaggregated feedstock analysis across all 14 </w:t>
      </w:r>
      <w:r>
        <w:rPr>
          <w:rFonts w:ascii="Inter" w:eastAsia="Times New Roman" w:hAnsi="Inter" w:cs="Times New Roman"/>
          <w:color w:val="auto"/>
        </w:rPr>
        <w:t xml:space="preserve">regional states, with cattle dung as the primary feedstock, and to determine indicative biogas production volumes by region, technology type, and end-use application including cooking, lighting, and bio-slurry </w:t>
      </w:r>
      <w:proofErr w:type="spellStart"/>
      <w:r>
        <w:rPr>
          <w:rFonts w:ascii="Inter" w:eastAsia="Times New Roman" w:hAnsi="Inter" w:cs="Times New Roman"/>
          <w:color w:val="auto"/>
        </w:rPr>
        <w:t>utilisation</w:t>
      </w:r>
      <w:proofErr w:type="spellEnd"/>
      <w:r>
        <w:rPr>
          <w:rFonts w:ascii="Inter" w:eastAsia="Times New Roman" w:hAnsi="Inter" w:cs="Times New Roman"/>
          <w:color w:val="auto"/>
        </w:rPr>
        <w:t>.</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To conduct a national gap assessm</w:t>
      </w:r>
      <w:r>
        <w:rPr>
          <w:rFonts w:ascii="Inter" w:eastAsia="Times New Roman" w:hAnsi="Inter" w:cs="Times New Roman"/>
          <w:color w:val="auto"/>
        </w:rPr>
        <w:t xml:space="preserve">ent identifying disparities between theoretical biogas potential and existing deployment across household, commercial, and institutional segments, and to provide a regional </w:t>
      </w:r>
      <w:proofErr w:type="spellStart"/>
      <w:r>
        <w:rPr>
          <w:rFonts w:ascii="Inter" w:eastAsia="Times New Roman" w:hAnsi="Inter" w:cs="Times New Roman"/>
          <w:color w:val="auto"/>
        </w:rPr>
        <w:t>prioritisation</w:t>
      </w:r>
      <w:proofErr w:type="spellEnd"/>
      <w:r>
        <w:rPr>
          <w:rFonts w:ascii="Inter" w:eastAsia="Times New Roman" w:hAnsi="Inter" w:cs="Times New Roman"/>
          <w:color w:val="auto"/>
        </w:rPr>
        <w:t xml:space="preserve"> framework aligned with Ethiopia's NDC commitments, SDG 7, and green </w:t>
      </w:r>
      <w:r>
        <w:rPr>
          <w:rFonts w:ascii="Inter" w:eastAsia="Times New Roman" w:hAnsi="Inter" w:cs="Times New Roman"/>
          <w:color w:val="auto"/>
        </w:rPr>
        <w:t>economy objectives.</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 xml:space="preserve">To quantify GHG emission reduction potential attributable to household, commercial, and institutional biogas deployment at scale and to identify viable pathways for carbon finance registration under </w:t>
      </w:r>
      <w:proofErr w:type="spellStart"/>
      <w:r>
        <w:rPr>
          <w:rFonts w:ascii="Inter" w:eastAsia="Times New Roman" w:hAnsi="Inter" w:cs="Times New Roman"/>
          <w:color w:val="auto"/>
        </w:rPr>
        <w:t>recognised</w:t>
      </w:r>
      <w:proofErr w:type="spellEnd"/>
      <w:r>
        <w:rPr>
          <w:rFonts w:ascii="Inter" w:eastAsia="Times New Roman" w:hAnsi="Inter" w:cs="Times New Roman"/>
          <w:color w:val="auto"/>
        </w:rPr>
        <w:t xml:space="preserve"> voluntary and compliance s</w:t>
      </w:r>
      <w:r>
        <w:rPr>
          <w:rFonts w:ascii="Inter" w:eastAsia="Times New Roman" w:hAnsi="Inter" w:cs="Times New Roman"/>
          <w:color w:val="auto"/>
        </w:rPr>
        <w:t>tandards.</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 xml:space="preserve">To identify and map suitable locations for Smart Village integrated biogas hubs across all 14 regional states, combining clean cooking, bio-slurry </w:t>
      </w:r>
      <w:proofErr w:type="spellStart"/>
      <w:r>
        <w:rPr>
          <w:rFonts w:ascii="Inter" w:eastAsia="Times New Roman" w:hAnsi="Inter" w:cs="Times New Roman"/>
          <w:color w:val="auto"/>
        </w:rPr>
        <w:t>fertiliser</w:t>
      </w:r>
      <w:proofErr w:type="spellEnd"/>
      <w:r>
        <w:rPr>
          <w:rFonts w:ascii="Inter" w:eastAsia="Times New Roman" w:hAnsi="Inter" w:cs="Times New Roman"/>
          <w:color w:val="auto"/>
        </w:rPr>
        <w:t xml:space="preserve"> production, and community energy services, and to develop a </w:t>
      </w:r>
      <w:proofErr w:type="spellStart"/>
      <w:r>
        <w:rPr>
          <w:rFonts w:ascii="Inter" w:eastAsia="Times New Roman" w:hAnsi="Inter" w:cs="Times New Roman"/>
          <w:color w:val="auto"/>
        </w:rPr>
        <w:t>prioritised</w:t>
      </w:r>
      <w:proofErr w:type="spellEnd"/>
      <w:r>
        <w:rPr>
          <w:rFonts w:ascii="Inter" w:eastAsia="Times New Roman" w:hAnsi="Inter" w:cs="Times New Roman"/>
          <w:color w:val="auto"/>
        </w:rPr>
        <w:t xml:space="preserve"> pilot implementa</w:t>
      </w:r>
      <w:r>
        <w:rPr>
          <w:rFonts w:ascii="Inter" w:eastAsia="Times New Roman" w:hAnsi="Inter" w:cs="Times New Roman"/>
          <w:color w:val="auto"/>
        </w:rPr>
        <w:t>tion roadmap.</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To develop one region-specific capacity building and training package per region across all 14 regional states, targeting local technicians, installation teams, government extension workers, and community facilitators.</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lastRenderedPageBreak/>
        <w:t>To formulate evidence-b</w:t>
      </w:r>
      <w:r>
        <w:rPr>
          <w:rFonts w:ascii="Inter" w:eastAsia="Times New Roman" w:hAnsi="Inter" w:cs="Times New Roman"/>
          <w:color w:val="auto"/>
        </w:rPr>
        <w:t>ased policy recommendations at national and regional levels to accelerate household, commercial, and institutional biogas market development, covering fiscal incentive design, quality assurance frameworks, and institutional arrangements.</w:t>
      </w:r>
    </w:p>
    <w:p w:rsidR="00FB0435" w:rsidRDefault="005E3B8B">
      <w:pPr>
        <w:numPr>
          <w:ilvl w:val="0"/>
          <w:numId w:val="2"/>
        </w:numPr>
        <w:spacing w:before="100" w:beforeAutospacing="1" w:after="100" w:afterAutospacing="1" w:line="276" w:lineRule="auto"/>
        <w:rPr>
          <w:rFonts w:ascii="Inter" w:eastAsia="Times New Roman" w:hAnsi="Inter" w:cs="Times New Roman"/>
          <w:color w:val="auto"/>
        </w:rPr>
      </w:pPr>
      <w:r>
        <w:rPr>
          <w:rFonts w:ascii="Inter" w:eastAsia="Times New Roman" w:hAnsi="Inter" w:cs="Times New Roman"/>
          <w:color w:val="auto"/>
        </w:rPr>
        <w:t>To produce a compr</w:t>
      </w:r>
      <w:r>
        <w:rPr>
          <w:rFonts w:ascii="Inter" w:eastAsia="Times New Roman" w:hAnsi="Inter" w:cs="Times New Roman"/>
          <w:color w:val="auto"/>
        </w:rPr>
        <w:t>ehensive, bankable National Biogas Technical Feasibility Study consolidating all household, commercial, and institutional findings into a single actionable instrument for the Government of Ethiopia and its development partners.</w:t>
      </w:r>
    </w:p>
    <w:p w:rsidR="00FB0435" w:rsidRDefault="005E3B8B">
      <w:pPr>
        <w:pStyle w:val="Heading1"/>
        <w:spacing w:before="160"/>
        <w:rPr>
          <w:rFonts w:ascii="Inter" w:hAnsi="Inter"/>
          <w:color w:val="002060"/>
          <w:sz w:val="24"/>
          <w:szCs w:val="24"/>
        </w:rPr>
      </w:pPr>
      <w:bookmarkStart w:id="8" w:name="_Toc231616951"/>
      <w:r>
        <w:rPr>
          <w:rFonts w:ascii="Inter" w:hAnsi="Inter"/>
          <w:color w:val="002060"/>
          <w:sz w:val="24"/>
          <w:szCs w:val="24"/>
        </w:rPr>
        <w:t>3.  SCOPE OF WORK</w:t>
      </w:r>
      <w:bookmarkEnd w:id="8"/>
    </w:p>
    <w:p w:rsidR="00FB0435" w:rsidRDefault="005E3B8B">
      <w:pPr>
        <w:pStyle w:val="Heading1"/>
        <w:spacing w:before="160"/>
        <w:rPr>
          <w:rFonts w:ascii="Inter" w:hAnsi="Inter"/>
          <w:color w:val="002060"/>
          <w:sz w:val="24"/>
          <w:szCs w:val="24"/>
        </w:rPr>
      </w:pPr>
      <w:bookmarkStart w:id="9" w:name="_Toc231616952"/>
      <w:proofErr w:type="gramStart"/>
      <w:r>
        <w:rPr>
          <w:rFonts w:ascii="Inter" w:hAnsi="Inter"/>
          <w:color w:val="002060"/>
          <w:sz w:val="24"/>
          <w:szCs w:val="24"/>
        </w:rPr>
        <w:t>3.1  Geogr</w:t>
      </w:r>
      <w:r>
        <w:rPr>
          <w:rFonts w:ascii="Inter" w:hAnsi="Inter"/>
          <w:color w:val="002060"/>
          <w:sz w:val="24"/>
          <w:szCs w:val="24"/>
        </w:rPr>
        <w:t>aphic</w:t>
      </w:r>
      <w:proofErr w:type="gramEnd"/>
      <w:r>
        <w:rPr>
          <w:rFonts w:ascii="Inter" w:hAnsi="Inter"/>
          <w:color w:val="002060"/>
          <w:sz w:val="24"/>
          <w:szCs w:val="24"/>
        </w:rPr>
        <w:t xml:space="preserve"> Coverage</w:t>
      </w:r>
      <w:bookmarkEnd w:id="9"/>
    </w:p>
    <w:p w:rsidR="00FB0435" w:rsidRDefault="005E3B8B">
      <w:pPr>
        <w:spacing w:line="360" w:lineRule="auto"/>
        <w:rPr>
          <w:rFonts w:ascii="Inter" w:hAnsi="Inter"/>
        </w:rPr>
      </w:pPr>
      <w:r>
        <w:rPr>
          <w:rFonts w:ascii="Inter" w:hAnsi="Inter"/>
        </w:rPr>
        <w:t>The assignment shall cover all 14 regional states and city administrations of the Federal Democratic Republic of Ethiopia, including:</w:t>
      </w:r>
    </w:p>
    <w:p w:rsidR="00FB0435" w:rsidRDefault="005E3B8B">
      <w:pPr>
        <w:pStyle w:val="ListParagraph"/>
        <w:numPr>
          <w:ilvl w:val="0"/>
          <w:numId w:val="3"/>
        </w:numPr>
        <w:spacing w:line="360" w:lineRule="auto"/>
        <w:rPr>
          <w:rFonts w:ascii="Inter" w:hAnsi="Inter"/>
        </w:rPr>
      </w:pPr>
      <w:r>
        <w:rPr>
          <w:rFonts w:ascii="Inter" w:hAnsi="Inter"/>
        </w:rPr>
        <w:t xml:space="preserve">The 11 regional states covered under the National Biogas </w:t>
      </w:r>
      <w:proofErr w:type="spellStart"/>
      <w:r>
        <w:rPr>
          <w:rFonts w:ascii="Inter" w:hAnsi="Inter"/>
        </w:rPr>
        <w:t>Programme</w:t>
      </w:r>
      <w:proofErr w:type="spellEnd"/>
      <w:r>
        <w:rPr>
          <w:rFonts w:ascii="Inter" w:hAnsi="Inter"/>
        </w:rPr>
        <w:t xml:space="preserve"> (NBP): </w:t>
      </w:r>
      <w:proofErr w:type="spellStart"/>
      <w:r>
        <w:rPr>
          <w:rFonts w:ascii="Inter" w:hAnsi="Inter"/>
        </w:rPr>
        <w:t>Oromia</w:t>
      </w:r>
      <w:proofErr w:type="spellEnd"/>
      <w:r>
        <w:rPr>
          <w:rFonts w:ascii="Inter" w:hAnsi="Inter"/>
        </w:rPr>
        <w:t xml:space="preserve">, </w:t>
      </w:r>
      <w:proofErr w:type="spellStart"/>
      <w:r>
        <w:rPr>
          <w:rFonts w:ascii="Inter" w:hAnsi="Inter"/>
        </w:rPr>
        <w:t>Amhara</w:t>
      </w:r>
      <w:proofErr w:type="spellEnd"/>
      <w:r>
        <w:rPr>
          <w:rFonts w:ascii="Inter" w:hAnsi="Inter"/>
        </w:rPr>
        <w:t xml:space="preserve">, Southern </w:t>
      </w:r>
      <w:proofErr w:type="gramStart"/>
      <w:r>
        <w:rPr>
          <w:rFonts w:ascii="Inter" w:hAnsi="Inter"/>
        </w:rPr>
        <w:t>Ethiopia</w:t>
      </w:r>
      <w:r>
        <w:rPr>
          <w:rFonts w:ascii="Inter" w:hAnsi="Inter"/>
        </w:rPr>
        <w:t xml:space="preserve"> ,</w:t>
      </w:r>
      <w:proofErr w:type="gramEnd"/>
      <w:r>
        <w:rPr>
          <w:rFonts w:ascii="Inter" w:hAnsi="Inter"/>
        </w:rPr>
        <w:t xml:space="preserve"> </w:t>
      </w:r>
      <w:proofErr w:type="spellStart"/>
      <w:r>
        <w:rPr>
          <w:rFonts w:ascii="Inter" w:hAnsi="Inter"/>
        </w:rPr>
        <w:t>Tigray</w:t>
      </w:r>
      <w:proofErr w:type="spellEnd"/>
      <w:r>
        <w:rPr>
          <w:rFonts w:ascii="Inter" w:hAnsi="Inter"/>
        </w:rPr>
        <w:t xml:space="preserve">, Afar, Somali, </w:t>
      </w:r>
      <w:proofErr w:type="spellStart"/>
      <w:r>
        <w:rPr>
          <w:rFonts w:ascii="Inter" w:hAnsi="Inter"/>
        </w:rPr>
        <w:t>Benishangul-Gumuz</w:t>
      </w:r>
      <w:proofErr w:type="spellEnd"/>
      <w:r>
        <w:rPr>
          <w:rFonts w:ascii="Inter" w:hAnsi="Inter"/>
        </w:rPr>
        <w:t xml:space="preserve">, </w:t>
      </w:r>
      <w:proofErr w:type="spellStart"/>
      <w:r>
        <w:rPr>
          <w:rFonts w:ascii="Inter" w:hAnsi="Inter"/>
        </w:rPr>
        <w:t>Gambela</w:t>
      </w:r>
      <w:proofErr w:type="spellEnd"/>
      <w:r>
        <w:rPr>
          <w:rFonts w:ascii="Inter" w:hAnsi="Inter"/>
        </w:rPr>
        <w:t xml:space="preserve">, </w:t>
      </w:r>
      <w:proofErr w:type="spellStart"/>
      <w:r>
        <w:rPr>
          <w:rFonts w:ascii="Inter" w:hAnsi="Inter"/>
        </w:rPr>
        <w:t>Sidama</w:t>
      </w:r>
      <w:proofErr w:type="spellEnd"/>
      <w:r>
        <w:rPr>
          <w:rFonts w:ascii="Inter" w:hAnsi="Inter"/>
        </w:rPr>
        <w:t>, South West Ethiopia, and Central Ethiopia.</w:t>
      </w:r>
    </w:p>
    <w:p w:rsidR="00FB0435" w:rsidRDefault="005E3B8B">
      <w:pPr>
        <w:pStyle w:val="ListParagraph"/>
        <w:numPr>
          <w:ilvl w:val="0"/>
          <w:numId w:val="3"/>
        </w:numPr>
        <w:spacing w:line="360" w:lineRule="auto"/>
        <w:rPr>
          <w:rFonts w:ascii="Inter" w:hAnsi="Inter"/>
        </w:rPr>
      </w:pPr>
      <w:r>
        <w:rPr>
          <w:rFonts w:ascii="Inter" w:hAnsi="Inter"/>
        </w:rPr>
        <w:t xml:space="preserve">Three additional regions not previously covered under the NBPE: Addis Ababa City Administration, </w:t>
      </w:r>
      <w:proofErr w:type="spellStart"/>
      <w:r>
        <w:rPr>
          <w:rFonts w:ascii="Inter" w:hAnsi="Inter"/>
        </w:rPr>
        <w:t>Harari</w:t>
      </w:r>
      <w:proofErr w:type="spellEnd"/>
      <w:r>
        <w:rPr>
          <w:rFonts w:ascii="Inter" w:hAnsi="Inter"/>
        </w:rPr>
        <w:t xml:space="preserve"> Regional State, and Dire </w:t>
      </w:r>
      <w:proofErr w:type="spellStart"/>
      <w:r>
        <w:rPr>
          <w:rFonts w:ascii="Inter" w:hAnsi="Inter"/>
        </w:rPr>
        <w:t>Dawa</w:t>
      </w:r>
      <w:proofErr w:type="spellEnd"/>
      <w:r>
        <w:rPr>
          <w:rFonts w:ascii="Inter" w:hAnsi="Inter"/>
        </w:rPr>
        <w:t xml:space="preserve"> City Administratio</w:t>
      </w:r>
      <w:r>
        <w:rPr>
          <w:rFonts w:ascii="Inter" w:hAnsi="Inter"/>
        </w:rPr>
        <w:t>n.</w:t>
      </w:r>
    </w:p>
    <w:p w:rsidR="00FB0435" w:rsidRDefault="005E3B8B">
      <w:pPr>
        <w:spacing w:line="360" w:lineRule="auto"/>
        <w:rPr>
          <w:rFonts w:ascii="Inter" w:hAnsi="Inter"/>
        </w:rPr>
      </w:pPr>
      <w:r>
        <w:rPr>
          <w:rFonts w:ascii="Inter" w:hAnsi="Inter"/>
        </w:rPr>
        <w:t>Within each region, the study  shall cover a minimum of three administrative zones selected based on population size, cattle density, institutional concentration, and proximity to water sources, with oversampling in high-potential and underserved areas.</w:t>
      </w:r>
      <w:r>
        <w:rPr>
          <w:rFonts w:ascii="Inter" w:hAnsi="Inter"/>
        </w:rPr>
        <w:t xml:space="preserve"> The Consultant shall develop a statistically robust sampling frame approved by </w:t>
      </w:r>
      <w:proofErr w:type="spellStart"/>
      <w:r>
        <w:rPr>
          <w:rFonts w:ascii="Inter" w:hAnsi="Inter"/>
        </w:rPr>
        <w:t>MoWE</w:t>
      </w:r>
      <w:proofErr w:type="spellEnd"/>
      <w:r>
        <w:rPr>
          <w:rFonts w:ascii="Inter" w:hAnsi="Inter"/>
        </w:rPr>
        <w:t>.</w:t>
      </w:r>
    </w:p>
    <w:p w:rsidR="00FB0435" w:rsidRDefault="005E3B8B">
      <w:pPr>
        <w:pStyle w:val="Heading1"/>
        <w:spacing w:before="160"/>
        <w:rPr>
          <w:rFonts w:ascii="Inter" w:hAnsi="Inter"/>
          <w:color w:val="002060"/>
          <w:sz w:val="24"/>
          <w:szCs w:val="24"/>
        </w:rPr>
      </w:pPr>
      <w:bookmarkStart w:id="10" w:name="_Toc231616953"/>
      <w:r>
        <w:rPr>
          <w:rFonts w:ascii="Inter" w:hAnsi="Inter"/>
          <w:color w:val="002060"/>
          <w:sz w:val="24"/>
          <w:szCs w:val="24"/>
        </w:rPr>
        <w:t>3.2 Biogas Segments</w:t>
      </w:r>
      <w:bookmarkEnd w:id="10"/>
    </w:p>
    <w:p w:rsidR="00FB0435" w:rsidRDefault="005E3B8B">
      <w:pPr>
        <w:pStyle w:val="Heading1"/>
        <w:spacing w:before="160"/>
        <w:rPr>
          <w:rFonts w:ascii="Inter" w:hAnsi="Inter"/>
          <w:b w:val="0"/>
          <w:bCs w:val="0"/>
          <w:color w:val="404040"/>
          <w:sz w:val="24"/>
          <w:szCs w:val="24"/>
        </w:rPr>
      </w:pPr>
      <w:bookmarkStart w:id="11" w:name="_Toc231616954"/>
      <w:r>
        <w:rPr>
          <w:rFonts w:ascii="Inter" w:hAnsi="Inter"/>
          <w:b w:val="0"/>
          <w:bCs w:val="0"/>
          <w:color w:val="404040"/>
          <w:sz w:val="24"/>
          <w:szCs w:val="24"/>
        </w:rPr>
        <w:t>The scope of the survey shall encompass three distinct biogas segments:</w:t>
      </w:r>
      <w:bookmarkEnd w:id="11"/>
    </w:p>
    <w:p w:rsidR="00FB0435" w:rsidRDefault="005E3B8B">
      <w:pPr>
        <w:pStyle w:val="Heading1"/>
        <w:spacing w:before="160"/>
        <w:rPr>
          <w:rFonts w:ascii="Inter" w:hAnsi="Inter"/>
          <w:color w:val="002060"/>
          <w:sz w:val="24"/>
          <w:szCs w:val="24"/>
        </w:rPr>
      </w:pPr>
      <w:bookmarkStart w:id="12" w:name="_Toc231616955"/>
      <w:r>
        <w:rPr>
          <w:rFonts w:ascii="Inter" w:hAnsi="Inter"/>
          <w:color w:val="002060"/>
          <w:sz w:val="24"/>
          <w:szCs w:val="24"/>
        </w:rPr>
        <w:t>3.2.1 Household Biogas</w:t>
      </w:r>
      <w:bookmarkEnd w:id="12"/>
    </w:p>
    <w:p w:rsidR="00FB0435" w:rsidRDefault="005E3B8B">
      <w:pPr>
        <w:rPr>
          <w:rFonts w:ascii="Inter" w:hAnsi="Inter"/>
          <w:color w:val="000000" w:themeColor="text1"/>
        </w:rPr>
      </w:pPr>
      <w:r>
        <w:rPr>
          <w:rFonts w:ascii="Inter" w:hAnsi="Inter"/>
          <w:color w:val="000000" w:themeColor="text1"/>
        </w:rPr>
        <w:t>The household biogas component shall assess:</w:t>
      </w:r>
    </w:p>
    <w:p w:rsidR="00FB0435" w:rsidRDefault="005E3B8B">
      <w:pPr>
        <w:pStyle w:val="ListParagraph"/>
        <w:numPr>
          <w:ilvl w:val="0"/>
          <w:numId w:val="4"/>
        </w:numPr>
        <w:spacing w:line="276" w:lineRule="auto"/>
        <w:rPr>
          <w:rFonts w:ascii="Inter" w:hAnsi="Inter"/>
          <w:color w:val="000000" w:themeColor="text1"/>
        </w:rPr>
      </w:pPr>
      <w:r>
        <w:rPr>
          <w:rFonts w:ascii="Inter" w:hAnsi="Inter"/>
          <w:color w:val="000000" w:themeColor="text1"/>
        </w:rPr>
        <w:t>Assessment</w:t>
      </w:r>
      <w:r>
        <w:rPr>
          <w:rFonts w:ascii="Inter" w:hAnsi="Inter"/>
          <w:color w:val="000000" w:themeColor="text1"/>
        </w:rPr>
        <w:t xml:space="preserve"> of biogas potential among households, including analysis of cattle ownership, cattle penning practices, number of cattle per household, water access, land availability, socio-economic status, and willingness to pay.</w:t>
      </w:r>
    </w:p>
    <w:p w:rsidR="00FB0435" w:rsidRDefault="005E3B8B">
      <w:pPr>
        <w:pStyle w:val="ListParagraph"/>
        <w:numPr>
          <w:ilvl w:val="0"/>
          <w:numId w:val="4"/>
        </w:numPr>
        <w:spacing w:line="276" w:lineRule="auto"/>
        <w:rPr>
          <w:rFonts w:ascii="Inter" w:hAnsi="Inter"/>
          <w:color w:val="000000" w:themeColor="text1"/>
        </w:rPr>
      </w:pPr>
      <w:r>
        <w:rPr>
          <w:rFonts w:ascii="Inter" w:hAnsi="Inter"/>
          <w:color w:val="000000" w:themeColor="text1"/>
        </w:rPr>
        <w:lastRenderedPageBreak/>
        <w:t>Estimate the potential for biogas produ</w:t>
      </w:r>
      <w:r>
        <w:rPr>
          <w:rFonts w:ascii="Inter" w:hAnsi="Inter"/>
          <w:color w:val="000000" w:themeColor="text1"/>
        </w:rPr>
        <w:t>ction, starting from household cattle population data and scaling up to regional and national levels. In addition to cattle numbers, factors such as proximity to water sources, site suitability, and the frequency of cattle dung availability at a single loc</w:t>
      </w:r>
      <w:r>
        <w:rPr>
          <w:rFonts w:ascii="Inter" w:hAnsi="Inter"/>
          <w:color w:val="000000" w:themeColor="text1"/>
        </w:rPr>
        <w:t>ation should also be considered during the estimation process. The final outcome will be the estimation of the national biogas production potential using cattle dung</w:t>
      </w:r>
    </w:p>
    <w:p w:rsidR="00FB0435" w:rsidRDefault="005E3B8B">
      <w:pPr>
        <w:pStyle w:val="ListParagraph"/>
        <w:numPr>
          <w:ilvl w:val="0"/>
          <w:numId w:val="4"/>
        </w:numPr>
        <w:spacing w:line="276" w:lineRule="auto"/>
        <w:rPr>
          <w:rFonts w:ascii="Inter" w:hAnsi="Inter"/>
          <w:color w:val="000000" w:themeColor="text1"/>
        </w:rPr>
      </w:pPr>
      <w:r>
        <w:rPr>
          <w:rFonts w:ascii="Inter" w:hAnsi="Inter"/>
          <w:color w:val="000000" w:themeColor="text1"/>
        </w:rPr>
        <w:t>Estimation of the total addressable household biogas market by region, disaggregated by zo</w:t>
      </w:r>
      <w:r>
        <w:rPr>
          <w:rFonts w:ascii="Inter" w:hAnsi="Inter"/>
          <w:color w:val="000000" w:themeColor="text1"/>
        </w:rPr>
        <w:t xml:space="preserve">ne and </w:t>
      </w:r>
      <w:proofErr w:type="spellStart"/>
      <w:r>
        <w:rPr>
          <w:rFonts w:ascii="Inter" w:hAnsi="Inter"/>
          <w:color w:val="000000" w:themeColor="text1"/>
        </w:rPr>
        <w:t>woreda</w:t>
      </w:r>
      <w:proofErr w:type="spellEnd"/>
      <w:r>
        <w:rPr>
          <w:rFonts w:ascii="Inter" w:hAnsi="Inter"/>
          <w:color w:val="000000" w:themeColor="text1"/>
        </w:rPr>
        <w:t>.</w:t>
      </w:r>
    </w:p>
    <w:p w:rsidR="00FB0435" w:rsidRDefault="005E3B8B">
      <w:pPr>
        <w:pStyle w:val="Heading1"/>
        <w:spacing w:before="160"/>
        <w:rPr>
          <w:rFonts w:ascii="Inter" w:hAnsi="Inter"/>
          <w:color w:val="002060"/>
          <w:sz w:val="24"/>
          <w:szCs w:val="24"/>
        </w:rPr>
      </w:pPr>
      <w:bookmarkStart w:id="13" w:name="_Toc231616956"/>
      <w:r>
        <w:rPr>
          <w:rFonts w:ascii="Inter" w:hAnsi="Inter"/>
          <w:color w:val="002060"/>
          <w:sz w:val="24"/>
          <w:szCs w:val="24"/>
        </w:rPr>
        <w:t>3.2.2 Commercial Biogas</w:t>
      </w:r>
      <w:bookmarkEnd w:id="13"/>
    </w:p>
    <w:p w:rsidR="00FB0435" w:rsidRDefault="005E3B8B">
      <w:pPr>
        <w:rPr>
          <w:rFonts w:ascii="Inter" w:hAnsi="Inter"/>
        </w:rPr>
      </w:pPr>
      <w:r>
        <w:rPr>
          <w:rFonts w:ascii="Inter" w:hAnsi="Inter"/>
        </w:rPr>
        <w:t>The commercial biogas component shall assess biogas potential from large organic waste generators such as hotels, abattoirs, Cattle fattening facilities, market waste collection points, and agro-industrial enterprises</w:t>
      </w:r>
      <w:r>
        <w:rPr>
          <w:rFonts w:ascii="Inter" w:hAnsi="Inter"/>
        </w:rPr>
        <w:t>. The Consultant shall:</w:t>
      </w:r>
    </w:p>
    <w:p w:rsidR="00FB0435" w:rsidRDefault="005E3B8B">
      <w:pPr>
        <w:pStyle w:val="ListParagraph"/>
        <w:numPr>
          <w:ilvl w:val="0"/>
          <w:numId w:val="5"/>
        </w:numPr>
        <w:rPr>
          <w:rFonts w:ascii="Inter" w:hAnsi="Inter"/>
        </w:rPr>
      </w:pPr>
      <w:r>
        <w:rPr>
          <w:rFonts w:ascii="Inter" w:hAnsi="Inter"/>
        </w:rPr>
        <w:t xml:space="preserve">Map and survey commercial enterprises that generate significant organic waste streams across each region. </w:t>
      </w:r>
    </w:p>
    <w:p w:rsidR="00FB0435" w:rsidRDefault="005E3B8B">
      <w:pPr>
        <w:pStyle w:val="ListParagraph"/>
        <w:numPr>
          <w:ilvl w:val="0"/>
          <w:numId w:val="5"/>
        </w:numPr>
        <w:rPr>
          <w:rFonts w:ascii="Inter" w:hAnsi="Inter"/>
        </w:rPr>
      </w:pPr>
      <w:r>
        <w:rPr>
          <w:rFonts w:ascii="Inter" w:hAnsi="Inter"/>
        </w:rPr>
        <w:t xml:space="preserve">Assess the quantity and characteristics of organic waste based on available secondary data sources, including reported waste </w:t>
      </w:r>
      <w:r>
        <w:rPr>
          <w:rFonts w:ascii="Inter" w:hAnsi="Inter"/>
        </w:rPr>
        <w:t xml:space="preserve">volumes, moisture content, biodegradability, and estimated biogas yield potential. </w:t>
      </w:r>
    </w:p>
    <w:p w:rsidR="00FB0435" w:rsidRDefault="005E3B8B">
      <w:pPr>
        <w:pStyle w:val="ListParagraph"/>
        <w:numPr>
          <w:ilvl w:val="0"/>
          <w:numId w:val="5"/>
        </w:numPr>
        <w:rPr>
          <w:rFonts w:ascii="Inter" w:hAnsi="Inter"/>
        </w:rPr>
      </w:pPr>
      <w:r>
        <w:rPr>
          <w:rFonts w:ascii="Inter" w:hAnsi="Inter"/>
        </w:rPr>
        <w:t xml:space="preserve">Evaluate willingness to invest in biogas systems and identify viable business models, including energy service company (ESCO) arrangements. </w:t>
      </w:r>
    </w:p>
    <w:p w:rsidR="00FB0435" w:rsidRDefault="005E3B8B">
      <w:pPr>
        <w:pStyle w:val="ListParagraph"/>
        <w:numPr>
          <w:ilvl w:val="0"/>
          <w:numId w:val="5"/>
        </w:numPr>
        <w:rPr>
          <w:rFonts w:ascii="Inter" w:hAnsi="Inter"/>
        </w:rPr>
      </w:pPr>
      <w:r>
        <w:rPr>
          <w:rFonts w:ascii="Inter" w:hAnsi="Inter"/>
        </w:rPr>
        <w:t>Estimate the total biogas produ</w:t>
      </w:r>
      <w:r>
        <w:rPr>
          <w:rFonts w:ascii="Inter" w:hAnsi="Inter"/>
        </w:rPr>
        <w:t xml:space="preserve">ction potential starting from </w:t>
      </w:r>
      <w:proofErr w:type="spellStart"/>
      <w:r>
        <w:rPr>
          <w:rFonts w:ascii="Inter" w:hAnsi="Inter"/>
        </w:rPr>
        <w:t>woreda</w:t>
      </w:r>
      <w:proofErr w:type="spellEnd"/>
      <w:r>
        <w:rPr>
          <w:rFonts w:ascii="Inter" w:hAnsi="Inter"/>
        </w:rPr>
        <w:t xml:space="preserve"> level and scaling up to zonal, regional, and national levels, taking into account concentrated organic waste generation at individual sites and clustered production hubs.</w:t>
      </w:r>
    </w:p>
    <w:p w:rsidR="00FB0435" w:rsidRDefault="005E3B8B">
      <w:pPr>
        <w:pStyle w:val="Heading1"/>
        <w:spacing w:before="160"/>
        <w:rPr>
          <w:rFonts w:ascii="Inter" w:hAnsi="Inter"/>
          <w:color w:val="002060"/>
          <w:sz w:val="24"/>
          <w:szCs w:val="24"/>
        </w:rPr>
      </w:pPr>
      <w:bookmarkStart w:id="14" w:name="_Toc231616957"/>
      <w:r>
        <w:rPr>
          <w:rFonts w:ascii="Inter" w:hAnsi="Inter"/>
          <w:color w:val="002060"/>
          <w:sz w:val="24"/>
          <w:szCs w:val="24"/>
        </w:rPr>
        <w:t>3.2.3 Institutional Biogas</w:t>
      </w:r>
      <w:bookmarkEnd w:id="14"/>
    </w:p>
    <w:p w:rsidR="00FB0435" w:rsidRDefault="005E3B8B">
      <w:pPr>
        <w:rPr>
          <w:rFonts w:ascii="Inter" w:hAnsi="Inter"/>
        </w:rPr>
      </w:pPr>
      <w:r>
        <w:rPr>
          <w:rFonts w:ascii="Inter" w:hAnsi="Inter"/>
        </w:rPr>
        <w:t>The institutional bio</w:t>
      </w:r>
      <w:r>
        <w:rPr>
          <w:rFonts w:ascii="Inter" w:hAnsi="Inter"/>
        </w:rPr>
        <w:t xml:space="preserve">gas component shall assess biogas potential from public and private institutions, including hospitals, health </w:t>
      </w:r>
      <w:proofErr w:type="spellStart"/>
      <w:r>
        <w:rPr>
          <w:rFonts w:ascii="Inter" w:hAnsi="Inter"/>
        </w:rPr>
        <w:t>centres</w:t>
      </w:r>
      <w:proofErr w:type="spellEnd"/>
      <w:r>
        <w:rPr>
          <w:rFonts w:ascii="Inter" w:hAnsi="Inter"/>
        </w:rPr>
        <w:t>, schools, universities, and prisons. The Consultant shall:</w:t>
      </w:r>
    </w:p>
    <w:p w:rsidR="00FB0435" w:rsidRDefault="005E3B8B">
      <w:pPr>
        <w:pStyle w:val="ListParagraph"/>
        <w:numPr>
          <w:ilvl w:val="0"/>
          <w:numId w:val="5"/>
        </w:numPr>
        <w:rPr>
          <w:rFonts w:ascii="Inter" w:hAnsi="Inter"/>
        </w:rPr>
      </w:pPr>
      <w:r>
        <w:rPr>
          <w:rFonts w:ascii="Inter" w:hAnsi="Inter"/>
        </w:rPr>
        <w:t>Map and survey relevant public and private institutions across each region that</w:t>
      </w:r>
      <w:r>
        <w:rPr>
          <w:rFonts w:ascii="Inter" w:hAnsi="Inter"/>
        </w:rPr>
        <w:t xml:space="preserve"> generate significant organic waste streams. </w:t>
      </w:r>
    </w:p>
    <w:p w:rsidR="00FB0435" w:rsidRDefault="005E3B8B">
      <w:pPr>
        <w:pStyle w:val="ListParagraph"/>
        <w:numPr>
          <w:ilvl w:val="0"/>
          <w:numId w:val="5"/>
        </w:numPr>
        <w:rPr>
          <w:rFonts w:ascii="Inter" w:hAnsi="Inter"/>
        </w:rPr>
      </w:pPr>
      <w:r>
        <w:rPr>
          <w:rFonts w:ascii="Inter" w:hAnsi="Inter"/>
        </w:rPr>
        <w:t xml:space="preserve">Assess the quantity and characteristics of organic waste based on available secondary data sources, including food waste, sewage sludge, and other biodegradable waste streams, as well as estimated biogas yield </w:t>
      </w:r>
      <w:r>
        <w:rPr>
          <w:rFonts w:ascii="Inter" w:hAnsi="Inter"/>
        </w:rPr>
        <w:t xml:space="preserve">potential. </w:t>
      </w:r>
    </w:p>
    <w:p w:rsidR="00FB0435" w:rsidRDefault="005E3B8B">
      <w:pPr>
        <w:pStyle w:val="ListParagraph"/>
        <w:numPr>
          <w:ilvl w:val="0"/>
          <w:numId w:val="5"/>
        </w:numPr>
        <w:rPr>
          <w:rFonts w:ascii="Inter" w:hAnsi="Inter"/>
        </w:rPr>
      </w:pPr>
      <w:r>
        <w:rPr>
          <w:rFonts w:ascii="Inter" w:hAnsi="Inter"/>
        </w:rPr>
        <w:t xml:space="preserve">Evaluate energy demand profiles, current energy consumption patterns, and associated energy expenditures. </w:t>
      </w:r>
    </w:p>
    <w:p w:rsidR="00FB0435" w:rsidRDefault="005E3B8B">
      <w:pPr>
        <w:pStyle w:val="ListParagraph"/>
        <w:numPr>
          <w:ilvl w:val="0"/>
          <w:numId w:val="5"/>
        </w:numPr>
        <w:rPr>
          <w:rFonts w:ascii="Inter" w:hAnsi="Inter"/>
        </w:rPr>
      </w:pPr>
      <w:r>
        <w:rPr>
          <w:rFonts w:ascii="Inter" w:hAnsi="Inter"/>
        </w:rPr>
        <w:lastRenderedPageBreak/>
        <w:t xml:space="preserve">Assess institutional capacity and willingness to participate in biogas </w:t>
      </w:r>
      <w:proofErr w:type="spellStart"/>
      <w:r>
        <w:rPr>
          <w:rFonts w:ascii="Inter" w:hAnsi="Inter"/>
        </w:rPr>
        <w:t>programmes</w:t>
      </w:r>
      <w:proofErr w:type="spellEnd"/>
      <w:r>
        <w:rPr>
          <w:rFonts w:ascii="Inter" w:hAnsi="Inter"/>
        </w:rPr>
        <w:t>, including operational, financial, and management readi</w:t>
      </w:r>
      <w:r>
        <w:rPr>
          <w:rFonts w:ascii="Inter" w:hAnsi="Inter"/>
        </w:rPr>
        <w:t xml:space="preserve">ness. </w:t>
      </w:r>
    </w:p>
    <w:p w:rsidR="00FB0435" w:rsidRDefault="005E3B8B">
      <w:pPr>
        <w:pStyle w:val="ListParagraph"/>
        <w:numPr>
          <w:ilvl w:val="0"/>
          <w:numId w:val="5"/>
        </w:numPr>
        <w:rPr>
          <w:rFonts w:ascii="Inter" w:hAnsi="Inter"/>
        </w:rPr>
      </w:pPr>
      <w:r>
        <w:rPr>
          <w:rFonts w:ascii="Inter" w:hAnsi="Inter"/>
        </w:rPr>
        <w:t xml:space="preserve">Estimate the total biogas production potential starting from </w:t>
      </w:r>
      <w:proofErr w:type="spellStart"/>
      <w:r>
        <w:rPr>
          <w:rFonts w:ascii="Inter" w:hAnsi="Inter"/>
        </w:rPr>
        <w:t>woreda</w:t>
      </w:r>
      <w:proofErr w:type="spellEnd"/>
      <w:r>
        <w:rPr>
          <w:rFonts w:ascii="Inter" w:hAnsi="Inter"/>
        </w:rPr>
        <w:t xml:space="preserve"> level and scaling up to zonal, regional, and national levels, taking into account clustered institutional waste generation and opportunities for shared or centralized biogas systems</w:t>
      </w:r>
      <w:r>
        <w:rPr>
          <w:rFonts w:ascii="Inter" w:hAnsi="Inter"/>
        </w:rPr>
        <w:t>.</w:t>
      </w:r>
    </w:p>
    <w:p w:rsidR="00FB0435" w:rsidRDefault="005E3B8B">
      <w:pPr>
        <w:pStyle w:val="Heading1"/>
        <w:spacing w:before="160"/>
        <w:rPr>
          <w:rFonts w:ascii="Inter" w:hAnsi="Inter"/>
          <w:color w:val="002060"/>
          <w:sz w:val="24"/>
          <w:szCs w:val="24"/>
        </w:rPr>
      </w:pPr>
      <w:bookmarkStart w:id="15" w:name="_Toc231616958"/>
      <w:r>
        <w:rPr>
          <w:rFonts w:ascii="Inter" w:hAnsi="Inter"/>
          <w:color w:val="002060"/>
          <w:sz w:val="24"/>
          <w:szCs w:val="24"/>
        </w:rPr>
        <w:t>3.3 Regional and National gap assessment and Recommendation</w:t>
      </w:r>
      <w:bookmarkEnd w:id="15"/>
      <w:r>
        <w:rPr>
          <w:rFonts w:ascii="Inter" w:hAnsi="Inter"/>
          <w:color w:val="002060"/>
          <w:sz w:val="24"/>
          <w:szCs w:val="24"/>
        </w:rPr>
        <w:t xml:space="preserve"> </w:t>
      </w:r>
    </w:p>
    <w:p w:rsidR="00FB0435" w:rsidRDefault="005E3B8B">
      <w:pPr>
        <w:spacing w:before="100" w:beforeAutospacing="1" w:after="100" w:afterAutospacing="1" w:line="240" w:lineRule="auto"/>
        <w:jc w:val="left"/>
        <w:rPr>
          <w:rFonts w:ascii="Inter" w:eastAsia="Times New Roman" w:hAnsi="Inter" w:cs="Times New Roman"/>
          <w:color w:val="auto"/>
        </w:rPr>
      </w:pPr>
      <w:r>
        <w:rPr>
          <w:rFonts w:ascii="Inter" w:eastAsia="Times New Roman" w:hAnsi="Inter" w:cs="Times New Roman"/>
          <w:color w:val="auto"/>
        </w:rPr>
        <w:t xml:space="preserve">The assignment shall include a regional and national gap assessment to identify disparities, constraints, and untapped opportunities for biogas development across household, commercial, and </w:t>
      </w:r>
      <w:r>
        <w:rPr>
          <w:rFonts w:ascii="Inter" w:eastAsia="Times New Roman" w:hAnsi="Inter" w:cs="Times New Roman"/>
          <w:color w:val="auto"/>
        </w:rPr>
        <w:t>institutional sectors in Ethiopia.</w:t>
      </w:r>
    </w:p>
    <w:p w:rsidR="00FB0435" w:rsidRDefault="005E3B8B">
      <w:pPr>
        <w:spacing w:before="100" w:beforeAutospacing="1" w:after="100" w:afterAutospacing="1" w:line="240" w:lineRule="auto"/>
        <w:jc w:val="left"/>
        <w:rPr>
          <w:rFonts w:ascii="Inter" w:eastAsia="Times New Roman" w:hAnsi="Inter" w:cs="Times New Roman"/>
          <w:color w:val="auto"/>
        </w:rPr>
      </w:pPr>
      <w:r>
        <w:rPr>
          <w:rFonts w:ascii="Inter" w:eastAsia="Times New Roman" w:hAnsi="Inter" w:cs="Times New Roman"/>
          <w:color w:val="auto"/>
        </w:rPr>
        <w:t>The Consultant shall:</w:t>
      </w:r>
    </w:p>
    <w:p w:rsidR="00FB0435" w:rsidRDefault="005E3B8B">
      <w:pPr>
        <w:pStyle w:val="ListParagraph"/>
        <w:numPr>
          <w:ilvl w:val="0"/>
          <w:numId w:val="4"/>
        </w:numPr>
        <w:spacing w:line="276" w:lineRule="auto"/>
        <w:rPr>
          <w:rFonts w:ascii="Inter" w:hAnsi="Inter"/>
        </w:rPr>
      </w:pPr>
      <w:r>
        <w:rPr>
          <w:rFonts w:ascii="Inter" w:hAnsi="Inter"/>
        </w:rPr>
        <w:t xml:space="preserve">Consolidate findings from household, commercial, and institutional assessments to establish a national baseline of organic waste availability and biogas production potential across </w:t>
      </w:r>
      <w:proofErr w:type="spellStart"/>
      <w:r>
        <w:rPr>
          <w:rFonts w:ascii="Inter" w:hAnsi="Inter"/>
        </w:rPr>
        <w:t>woredas</w:t>
      </w:r>
      <w:proofErr w:type="spellEnd"/>
      <w:r>
        <w:rPr>
          <w:rFonts w:ascii="Inter" w:hAnsi="Inter"/>
        </w:rPr>
        <w:t>, zones, an</w:t>
      </w:r>
      <w:r>
        <w:rPr>
          <w:rFonts w:ascii="Inter" w:hAnsi="Inter"/>
        </w:rPr>
        <w:t>d regions.</w:t>
      </w:r>
    </w:p>
    <w:p w:rsidR="00FB0435" w:rsidRDefault="005E3B8B">
      <w:pPr>
        <w:pStyle w:val="ListParagraph"/>
        <w:numPr>
          <w:ilvl w:val="0"/>
          <w:numId w:val="4"/>
        </w:numPr>
        <w:spacing w:line="276" w:lineRule="auto"/>
        <w:rPr>
          <w:rFonts w:ascii="Inter" w:hAnsi="Inter"/>
        </w:rPr>
      </w:pPr>
      <w:r>
        <w:rPr>
          <w:rFonts w:ascii="Inter" w:hAnsi="Inter"/>
        </w:rPr>
        <w:t xml:space="preserve">Identify the gap between theoretical biogas potential (based on spatial feedstock availability) and existing biogas deployment under the National Biogas </w:t>
      </w:r>
      <w:proofErr w:type="spellStart"/>
      <w:r>
        <w:rPr>
          <w:rFonts w:ascii="Inter" w:hAnsi="Inter"/>
        </w:rPr>
        <w:t>Programme</w:t>
      </w:r>
      <w:proofErr w:type="spellEnd"/>
      <w:r>
        <w:rPr>
          <w:rFonts w:ascii="Inter" w:hAnsi="Inter"/>
        </w:rPr>
        <w:t xml:space="preserve"> and other initiatives.</w:t>
      </w:r>
    </w:p>
    <w:p w:rsidR="00FB0435" w:rsidRDefault="005E3B8B">
      <w:pPr>
        <w:pStyle w:val="ListParagraph"/>
        <w:numPr>
          <w:ilvl w:val="0"/>
          <w:numId w:val="4"/>
        </w:numPr>
        <w:spacing w:line="276" w:lineRule="auto"/>
        <w:rPr>
          <w:rFonts w:ascii="Inter" w:hAnsi="Inter"/>
        </w:rPr>
      </w:pPr>
      <w:r>
        <w:rPr>
          <w:rFonts w:ascii="Inter" w:hAnsi="Inter"/>
        </w:rPr>
        <w:t xml:space="preserve">Analyze regional disparities in energy access, reliance on </w:t>
      </w:r>
      <w:r>
        <w:rPr>
          <w:rFonts w:ascii="Inter" w:hAnsi="Inter"/>
        </w:rPr>
        <w:t xml:space="preserve">traditional biomass, and distribution of key </w:t>
      </w:r>
      <w:proofErr w:type="spellStart"/>
      <w:r>
        <w:rPr>
          <w:rFonts w:ascii="Inter" w:hAnsi="Inter"/>
        </w:rPr>
        <w:t>feedstocks</w:t>
      </w:r>
      <w:proofErr w:type="spellEnd"/>
      <w:r>
        <w:rPr>
          <w:rFonts w:ascii="Inter" w:hAnsi="Inter"/>
        </w:rPr>
        <w:t xml:space="preserve"> such as cattle dung and organic waste streams.</w:t>
      </w:r>
    </w:p>
    <w:p w:rsidR="00FB0435" w:rsidRDefault="005E3B8B">
      <w:pPr>
        <w:pStyle w:val="ListParagraph"/>
        <w:numPr>
          <w:ilvl w:val="0"/>
          <w:numId w:val="4"/>
        </w:numPr>
        <w:spacing w:line="276" w:lineRule="auto"/>
        <w:rPr>
          <w:rFonts w:ascii="Inter" w:hAnsi="Inter"/>
        </w:rPr>
      </w:pPr>
      <w:r>
        <w:rPr>
          <w:rFonts w:ascii="Inter" w:hAnsi="Inter"/>
        </w:rPr>
        <w:t>Assess spatial variations in enabling conditions, including waste concentration, livestock density, water access, land availability, and clustering of po</w:t>
      </w:r>
      <w:r>
        <w:rPr>
          <w:rFonts w:ascii="Inter" w:hAnsi="Inter"/>
        </w:rPr>
        <w:t>tential users.</w:t>
      </w:r>
    </w:p>
    <w:p w:rsidR="00FB0435" w:rsidRDefault="005E3B8B">
      <w:pPr>
        <w:pStyle w:val="ListParagraph"/>
        <w:numPr>
          <w:ilvl w:val="0"/>
          <w:numId w:val="4"/>
        </w:numPr>
        <w:spacing w:line="276" w:lineRule="auto"/>
        <w:rPr>
          <w:rFonts w:ascii="Inter" w:hAnsi="Inter"/>
        </w:rPr>
      </w:pPr>
      <w:r>
        <w:rPr>
          <w:rFonts w:ascii="Inter" w:hAnsi="Inter"/>
        </w:rPr>
        <w:t xml:space="preserve">Quantify untapped biogas potential at </w:t>
      </w:r>
      <w:proofErr w:type="spellStart"/>
      <w:r>
        <w:rPr>
          <w:rFonts w:ascii="Inter" w:hAnsi="Inter"/>
        </w:rPr>
        <w:t>woreda</w:t>
      </w:r>
      <w:proofErr w:type="spellEnd"/>
      <w:r>
        <w:rPr>
          <w:rFonts w:ascii="Inter" w:hAnsi="Inter"/>
        </w:rPr>
        <w:t>, zonal, regional, and national levels, highlighting high-potential hotspots and underserved areas.</w:t>
      </w:r>
    </w:p>
    <w:p w:rsidR="00FB0435" w:rsidRDefault="005E3B8B">
      <w:pPr>
        <w:pStyle w:val="ListParagraph"/>
        <w:numPr>
          <w:ilvl w:val="0"/>
          <w:numId w:val="4"/>
        </w:numPr>
        <w:spacing w:line="276" w:lineRule="auto"/>
        <w:rPr>
          <w:rFonts w:ascii="Inter" w:hAnsi="Inter"/>
        </w:rPr>
      </w:pPr>
      <w:r>
        <w:rPr>
          <w:rFonts w:ascii="Inter" w:hAnsi="Inter"/>
        </w:rPr>
        <w:t>Provide a regional prioritization framework to guide investment and program expansion, aligned wi</w:t>
      </w:r>
      <w:r>
        <w:rPr>
          <w:rFonts w:ascii="Inter" w:hAnsi="Inter"/>
        </w:rPr>
        <w:t>th Ethiopia’s NDC, SDG 7, and green economy objectives.</w:t>
      </w:r>
    </w:p>
    <w:p w:rsidR="00FB0435" w:rsidRDefault="005E3B8B">
      <w:pPr>
        <w:pStyle w:val="ListParagraph"/>
        <w:numPr>
          <w:ilvl w:val="0"/>
          <w:numId w:val="4"/>
        </w:numPr>
        <w:spacing w:line="276" w:lineRule="auto"/>
        <w:rPr>
          <w:rFonts w:ascii="Inter" w:hAnsi="Inter"/>
        </w:rPr>
      </w:pPr>
      <w:r>
        <w:rPr>
          <w:rFonts w:ascii="Inter" w:hAnsi="Inter"/>
        </w:rPr>
        <w:t>Identify key policy, infrastructure, and market gaps limiting large-scale biogas adoption, including program coverage gaps in previously under-served regions.</w:t>
      </w:r>
    </w:p>
    <w:p w:rsidR="00FB0435" w:rsidRDefault="005E3B8B">
      <w:pPr>
        <w:pStyle w:val="ListParagraph"/>
        <w:numPr>
          <w:ilvl w:val="0"/>
          <w:numId w:val="4"/>
        </w:numPr>
        <w:spacing w:line="276" w:lineRule="auto"/>
        <w:rPr>
          <w:rFonts w:ascii="Inter" w:hAnsi="Inter"/>
        </w:rPr>
      </w:pPr>
      <w:r>
        <w:rPr>
          <w:rFonts w:ascii="Inter" w:hAnsi="Inter"/>
        </w:rPr>
        <w:t xml:space="preserve">Provide actionable recommendations for </w:t>
      </w:r>
      <w:r>
        <w:rPr>
          <w:rFonts w:ascii="Inter" w:hAnsi="Inter"/>
        </w:rPr>
        <w:t>targeted investment prioritization, policy support, and phased biogas development interventions to address identified gaps and accelerate nationwide scale-up.</w:t>
      </w:r>
    </w:p>
    <w:p w:rsidR="00FB0435" w:rsidRDefault="00FB0435">
      <w:pPr>
        <w:spacing w:line="276" w:lineRule="auto"/>
        <w:rPr>
          <w:rFonts w:ascii="Inter" w:hAnsi="Inter"/>
        </w:rPr>
      </w:pPr>
    </w:p>
    <w:p w:rsidR="00FB0435" w:rsidRDefault="00FB0435">
      <w:pPr>
        <w:spacing w:line="276" w:lineRule="auto"/>
        <w:rPr>
          <w:rFonts w:ascii="Inter" w:hAnsi="Inter"/>
        </w:rPr>
      </w:pPr>
    </w:p>
    <w:p w:rsidR="00FB0435" w:rsidRDefault="00FB0435">
      <w:pPr>
        <w:spacing w:line="276" w:lineRule="auto"/>
        <w:rPr>
          <w:rFonts w:ascii="Inter" w:hAnsi="Inter"/>
        </w:rPr>
      </w:pPr>
    </w:p>
    <w:p w:rsidR="00FB0435" w:rsidRDefault="005E3B8B">
      <w:pPr>
        <w:pStyle w:val="Heading1"/>
        <w:spacing w:before="160"/>
        <w:rPr>
          <w:rFonts w:ascii="Inter" w:hAnsi="Inter"/>
          <w:color w:val="002060"/>
          <w:sz w:val="24"/>
          <w:szCs w:val="24"/>
        </w:rPr>
      </w:pPr>
      <w:bookmarkStart w:id="16" w:name="_Toc231616959"/>
      <w:r>
        <w:rPr>
          <w:rFonts w:ascii="Inter" w:hAnsi="Inter"/>
          <w:color w:val="002060"/>
          <w:sz w:val="24"/>
          <w:szCs w:val="24"/>
        </w:rPr>
        <w:t>3.4 Smart Village Assessment</w:t>
      </w:r>
      <w:bookmarkEnd w:id="16"/>
    </w:p>
    <w:p w:rsidR="00FB0435" w:rsidRDefault="005E3B8B">
      <w:pPr>
        <w:pStyle w:val="NormalWeb"/>
        <w:spacing w:line="276" w:lineRule="auto"/>
        <w:jc w:val="both"/>
        <w:rPr>
          <w:rFonts w:ascii="Inter" w:hAnsi="Inter"/>
          <w:color w:val="000000" w:themeColor="text1"/>
        </w:rPr>
      </w:pPr>
      <w:r>
        <w:rPr>
          <w:rFonts w:ascii="Inter" w:hAnsi="Inter"/>
          <w:color w:val="000000" w:themeColor="text1"/>
        </w:rPr>
        <w:t xml:space="preserve">The assignment shall include a rapid Smart Village Assessment to </w:t>
      </w:r>
      <w:r>
        <w:rPr>
          <w:rFonts w:ascii="Inter" w:hAnsi="Inter"/>
          <w:color w:val="000000" w:themeColor="text1"/>
        </w:rPr>
        <w:t>identify and prioritize suitable pilot locations for integrated biogas-based rural development models prior to large-scale dissemination. The Consultant shall:</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 xml:space="preserve">Rapidly identify and map potential “smart village” sites using readily available secondary data </w:t>
      </w:r>
      <w:r>
        <w:rPr>
          <w:rFonts w:ascii="Inter" w:hAnsi="Inter"/>
          <w:color w:val="000000" w:themeColor="text1"/>
        </w:rPr>
        <w:t xml:space="preserve">and key indicators such as household clustering, livestock density, organic waste availability, water access, land suitability, and basic energy access conditions.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Conduct a high-level feasibility screening of integrated biogas systems covering clean cook</w:t>
      </w:r>
      <w:r>
        <w:rPr>
          <w:rFonts w:ascii="Inter" w:hAnsi="Inter"/>
          <w:color w:val="000000" w:themeColor="text1"/>
        </w:rPr>
        <w:t xml:space="preserve">ing, bio-slurry utilization, and basic community-level energy applications where applicable.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Assess community-level socio-economic conditions, institutional presence, and general willingness to participate based on key informant consultations and existing</w:t>
      </w:r>
      <w:r>
        <w:rPr>
          <w:rFonts w:ascii="Inter" w:hAnsi="Inter"/>
          <w:color w:val="000000" w:themeColor="text1"/>
        </w:rPr>
        <w:t xml:space="preserve"> local data.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 xml:space="preserve">Review basic infrastructure requirements, including feedstock availability pathways, simple digester configuration options, water access, and feasible bio-slurry handling approaches.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Prioritize a shortlist of candidate villages for pilot imp</w:t>
      </w:r>
      <w:r>
        <w:rPr>
          <w:rFonts w:ascii="Inter" w:hAnsi="Inter"/>
          <w:color w:val="000000" w:themeColor="text1"/>
        </w:rPr>
        <w:t xml:space="preserve">lementation based on technical potential, ease of implementation, and demonstration value for rapid scale-up.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Develop a concise implementation roadmap outlining pilot design, key performance indicators, and a practical replication approach for scaling suc</w:t>
      </w:r>
      <w:r>
        <w:rPr>
          <w:rFonts w:ascii="Inter" w:hAnsi="Inter"/>
          <w:color w:val="000000" w:themeColor="text1"/>
        </w:rPr>
        <w:t>cessful models.</w:t>
      </w:r>
    </w:p>
    <w:p w:rsidR="00FB0435" w:rsidRDefault="005E3B8B">
      <w:pPr>
        <w:pStyle w:val="Heading1"/>
        <w:spacing w:before="160"/>
        <w:rPr>
          <w:rFonts w:ascii="Inter" w:hAnsi="Inter"/>
          <w:color w:val="002060"/>
          <w:sz w:val="24"/>
          <w:szCs w:val="24"/>
        </w:rPr>
      </w:pPr>
      <w:bookmarkStart w:id="17" w:name="_Toc231616960"/>
      <w:r>
        <w:rPr>
          <w:rFonts w:ascii="Inter" w:hAnsi="Inter"/>
          <w:color w:val="002060"/>
          <w:sz w:val="24"/>
          <w:szCs w:val="24"/>
        </w:rPr>
        <w:t>3.5 Stakeholder Analysis</w:t>
      </w:r>
      <w:bookmarkEnd w:id="17"/>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 xml:space="preserve">The assignment shall include a comprehensive stakeholder analysis to identify and assess key actors involved in or relevant to biogas development across household, commercial, and institutional sectors in Ethiopia, </w:t>
      </w:r>
      <w:r>
        <w:rPr>
          <w:rFonts w:ascii="Inter" w:hAnsi="Inter"/>
          <w:color w:val="000000" w:themeColor="text1"/>
        </w:rPr>
        <w:t>with particular emphasis on stakeholders with prior experience in biogas-related initiatives.</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The Consultant shall:</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 xml:space="preserve">Identify and map key stakeholders at national, regional, zonal, and </w:t>
      </w:r>
      <w:proofErr w:type="spellStart"/>
      <w:r>
        <w:rPr>
          <w:rFonts w:ascii="Inter" w:hAnsi="Inter"/>
          <w:color w:val="000000" w:themeColor="text1"/>
        </w:rPr>
        <w:t>woreda</w:t>
      </w:r>
      <w:proofErr w:type="spellEnd"/>
      <w:r>
        <w:rPr>
          <w:rFonts w:ascii="Inter" w:hAnsi="Inter"/>
          <w:color w:val="000000" w:themeColor="text1"/>
        </w:rPr>
        <w:t xml:space="preserve"> levels, including relevant government bodies, NGOs, development partners, civil society organizations (CSOs), private sector actors, commercial banks, and microfinance institutions </w:t>
      </w:r>
      <w:r>
        <w:rPr>
          <w:rFonts w:ascii="Inter" w:hAnsi="Inter"/>
          <w:color w:val="000000" w:themeColor="text1"/>
        </w:rPr>
        <w:t xml:space="preserve">that have previously engaged in biogas or clean energy programs.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lastRenderedPageBreak/>
        <w:t xml:space="preserve">Assess the roles, mandates, and level of engagement of each stakeholder in biogas policy development, financing, implementation, technology dissemination, and service delivery.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 xml:space="preserve">Review past </w:t>
      </w:r>
      <w:r>
        <w:rPr>
          <w:rFonts w:ascii="Inter" w:hAnsi="Inter"/>
          <w:color w:val="000000" w:themeColor="text1"/>
        </w:rPr>
        <w:t xml:space="preserve">and ongoing biogas-related interventions implemented by these stakeholders to identify lessons learned, institutional strengths, and operational gaps.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Analyze coordination mechanisms among stakeholders, identifying overlaps, fragmentation, and opportuniti</w:t>
      </w:r>
      <w:r>
        <w:rPr>
          <w:rFonts w:ascii="Inter" w:hAnsi="Inter"/>
          <w:color w:val="000000" w:themeColor="text1"/>
        </w:rPr>
        <w:t xml:space="preserve">es for improved synergy in biogas planning and implementation.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 xml:space="preserve">Evaluate the technical, financial, and institutional capacity of stakeholders to support scaling of household, commercial, institutional, and smart village biogas interventions.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Assess financ</w:t>
      </w:r>
      <w:r>
        <w:rPr>
          <w:rFonts w:ascii="Inter" w:hAnsi="Inter"/>
          <w:color w:val="000000" w:themeColor="text1"/>
        </w:rPr>
        <w:t xml:space="preserve">ing landscape contributions from banks and microfinance institutions, including existing credit products, green financing mechanisms, and accessibility for biogas investments.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Identify stakeholder incentives, constraints, and readiness to engage in expand</w:t>
      </w:r>
      <w:r>
        <w:rPr>
          <w:rFonts w:ascii="Inter" w:hAnsi="Inter"/>
          <w:color w:val="000000" w:themeColor="text1"/>
        </w:rPr>
        <w:t xml:space="preserve">ed biogas deployment under national programs. </w:t>
      </w:r>
    </w:p>
    <w:p w:rsidR="00FB0435" w:rsidRDefault="005E3B8B">
      <w:pPr>
        <w:numPr>
          <w:ilvl w:val="0"/>
          <w:numId w:val="6"/>
        </w:numPr>
        <w:spacing w:before="100" w:beforeAutospacing="1" w:after="100" w:afterAutospacing="1" w:line="276" w:lineRule="auto"/>
        <w:rPr>
          <w:rFonts w:ascii="Inter" w:hAnsi="Inter"/>
          <w:color w:val="000000" w:themeColor="text1"/>
        </w:rPr>
      </w:pPr>
      <w:r>
        <w:rPr>
          <w:rFonts w:ascii="Inter" w:hAnsi="Inter"/>
          <w:color w:val="000000" w:themeColor="text1"/>
        </w:rPr>
        <w:t>Develop a stakeholder engagement and coordination framework to strengthen collaboration and ensure effective implementation of biogas programs, including pilot smart village initiatives and nationwide scale-up</w:t>
      </w:r>
      <w:r>
        <w:rPr>
          <w:rFonts w:ascii="Inter" w:hAnsi="Inter"/>
          <w:color w:val="000000" w:themeColor="text1"/>
        </w:rPr>
        <w:t>.</w:t>
      </w:r>
    </w:p>
    <w:p w:rsidR="00FB0435" w:rsidRDefault="005E3B8B">
      <w:pPr>
        <w:pStyle w:val="Heading1"/>
        <w:spacing w:before="160"/>
        <w:rPr>
          <w:rFonts w:ascii="Inter" w:hAnsi="Inter"/>
          <w:color w:val="002060"/>
          <w:sz w:val="24"/>
          <w:szCs w:val="24"/>
        </w:rPr>
      </w:pPr>
      <w:bookmarkStart w:id="18" w:name="_Toc231616961"/>
      <w:r>
        <w:rPr>
          <w:rFonts w:ascii="Inter" w:hAnsi="Inter"/>
          <w:color w:val="002060"/>
          <w:sz w:val="24"/>
          <w:szCs w:val="24"/>
        </w:rPr>
        <w:t>4.  DETAILED METHODOLOGY</w:t>
      </w:r>
      <w:bookmarkEnd w:id="18"/>
    </w:p>
    <w:p w:rsidR="00FB0435" w:rsidRDefault="005E3B8B">
      <w:pPr>
        <w:pStyle w:val="Heading1"/>
        <w:spacing w:before="160"/>
        <w:rPr>
          <w:rFonts w:ascii="Inter" w:hAnsi="Inter"/>
          <w:color w:val="002060"/>
          <w:sz w:val="24"/>
          <w:szCs w:val="24"/>
        </w:rPr>
      </w:pPr>
      <w:bookmarkStart w:id="19" w:name="_Toc231616962"/>
      <w:proofErr w:type="gramStart"/>
      <w:r>
        <w:rPr>
          <w:rFonts w:ascii="Inter" w:hAnsi="Inter"/>
          <w:color w:val="002060"/>
          <w:sz w:val="24"/>
          <w:szCs w:val="24"/>
        </w:rPr>
        <w:t>4.1  Inception</w:t>
      </w:r>
      <w:proofErr w:type="gramEnd"/>
      <w:r>
        <w:rPr>
          <w:rFonts w:ascii="Inter" w:hAnsi="Inter"/>
          <w:color w:val="002060"/>
          <w:sz w:val="24"/>
          <w:szCs w:val="24"/>
        </w:rPr>
        <w:t xml:space="preserve"> and Preparatory Phase</w:t>
      </w:r>
      <w:bookmarkEnd w:id="19"/>
    </w:p>
    <w:p w:rsidR="00FB0435" w:rsidRDefault="005E3B8B">
      <w:pPr>
        <w:rPr>
          <w:rFonts w:ascii="Inter" w:hAnsi="Inter"/>
          <w:color w:val="000000" w:themeColor="text1"/>
        </w:rPr>
      </w:pPr>
      <w:r>
        <w:rPr>
          <w:rFonts w:ascii="Inter" w:hAnsi="Inter"/>
          <w:color w:val="000000" w:themeColor="text1"/>
        </w:rPr>
        <w:t>The Consultant shall commence the assignment with a structured inception phase comprising the following activities:</w:t>
      </w:r>
    </w:p>
    <w:p w:rsidR="00FB0435" w:rsidRDefault="005E3B8B">
      <w:pPr>
        <w:pStyle w:val="ListParagraph"/>
        <w:numPr>
          <w:ilvl w:val="0"/>
          <w:numId w:val="7"/>
        </w:numPr>
        <w:rPr>
          <w:rFonts w:ascii="Inter" w:hAnsi="Inter"/>
          <w:color w:val="000000" w:themeColor="text1"/>
        </w:rPr>
      </w:pPr>
      <w:r>
        <w:rPr>
          <w:rFonts w:ascii="Inter" w:hAnsi="Inter"/>
          <w:color w:val="000000" w:themeColor="text1"/>
        </w:rPr>
        <w:t>Conduct a comprehensive literature review of global and African biogas surve</w:t>
      </w:r>
      <w:r>
        <w:rPr>
          <w:rFonts w:ascii="Inter" w:hAnsi="Inter"/>
          <w:color w:val="000000" w:themeColor="text1"/>
        </w:rPr>
        <w:t xml:space="preserve">y methodologies, with specific reference to the SNV/USAID National Domestic Biogas </w:t>
      </w:r>
      <w:proofErr w:type="spellStart"/>
      <w:r>
        <w:rPr>
          <w:rFonts w:ascii="Inter" w:hAnsi="Inter"/>
          <w:color w:val="000000" w:themeColor="text1"/>
        </w:rPr>
        <w:t>Programme</w:t>
      </w:r>
      <w:proofErr w:type="spellEnd"/>
      <w:r>
        <w:rPr>
          <w:rFonts w:ascii="Inter" w:hAnsi="Inter"/>
          <w:color w:val="000000" w:themeColor="text1"/>
        </w:rPr>
        <w:t xml:space="preserve"> guidelines, FAO biogas guidelines for developing countries, IEA Bioenergy Task 37 country reports, </w:t>
      </w:r>
      <w:proofErr w:type="spellStart"/>
      <w:r>
        <w:rPr>
          <w:rFonts w:ascii="Inter" w:hAnsi="Inter"/>
          <w:color w:val="000000" w:themeColor="text1"/>
        </w:rPr>
        <w:t>AfDB</w:t>
      </w:r>
      <w:proofErr w:type="spellEnd"/>
      <w:r>
        <w:rPr>
          <w:rFonts w:ascii="Inter" w:hAnsi="Inter"/>
          <w:color w:val="000000" w:themeColor="text1"/>
        </w:rPr>
        <w:t xml:space="preserve"> biogas investment frameworks, and peer-reviewed literature </w:t>
      </w:r>
      <w:r>
        <w:rPr>
          <w:rFonts w:ascii="Inter" w:hAnsi="Inter"/>
          <w:color w:val="000000" w:themeColor="text1"/>
        </w:rPr>
        <w:t>on biogas potential assessment.</w:t>
      </w:r>
    </w:p>
    <w:p w:rsidR="00FB0435" w:rsidRDefault="005E3B8B">
      <w:pPr>
        <w:pStyle w:val="ListParagraph"/>
        <w:numPr>
          <w:ilvl w:val="0"/>
          <w:numId w:val="7"/>
        </w:numPr>
        <w:rPr>
          <w:rFonts w:ascii="Inter" w:hAnsi="Inter"/>
          <w:color w:val="000000" w:themeColor="text1"/>
        </w:rPr>
      </w:pPr>
      <w:r>
        <w:rPr>
          <w:rFonts w:ascii="Inter" w:hAnsi="Inter"/>
          <w:color w:val="000000" w:themeColor="text1"/>
        </w:rPr>
        <w:t>Review all existing data from Ethiopia's NBP, including installation records, monitoring reports, household survey data, and technical assessments, to establish a baseline and identify data gaps.</w:t>
      </w:r>
    </w:p>
    <w:p w:rsidR="00FB0435" w:rsidRDefault="005E3B8B">
      <w:pPr>
        <w:pStyle w:val="ListParagraph"/>
        <w:numPr>
          <w:ilvl w:val="0"/>
          <w:numId w:val="7"/>
        </w:numPr>
        <w:rPr>
          <w:rFonts w:ascii="Inter" w:hAnsi="Inter"/>
          <w:color w:val="000000" w:themeColor="text1"/>
        </w:rPr>
      </w:pPr>
      <w:r>
        <w:rPr>
          <w:rFonts w:ascii="Inter" w:hAnsi="Inter"/>
          <w:color w:val="000000" w:themeColor="text1"/>
        </w:rPr>
        <w:t xml:space="preserve">Develop and present for </w:t>
      </w:r>
      <w:proofErr w:type="spellStart"/>
      <w:r>
        <w:rPr>
          <w:rFonts w:ascii="Inter" w:hAnsi="Inter"/>
          <w:color w:val="000000" w:themeColor="text1"/>
        </w:rPr>
        <w:t>MoWE</w:t>
      </w:r>
      <w:proofErr w:type="spellEnd"/>
      <w:r>
        <w:rPr>
          <w:rFonts w:ascii="Inter" w:hAnsi="Inter"/>
          <w:color w:val="000000" w:themeColor="text1"/>
        </w:rPr>
        <w:t xml:space="preserve"> approval an Inception Report including: (a) refined scope of work; (b) sampling framework; (c) survey instruments (household questionnaire, commercial enterprise questionnaire, institutional assessment checklist); (d) data management plan; (e) GIS and map</w:t>
      </w:r>
      <w:r>
        <w:rPr>
          <w:rFonts w:ascii="Inter" w:hAnsi="Inter"/>
          <w:color w:val="000000" w:themeColor="text1"/>
        </w:rPr>
        <w:t>ping protocols; (f) environmental and social safeguards plan; and (g) detailed work plan with milestones.</w:t>
      </w:r>
    </w:p>
    <w:p w:rsidR="00FB0435" w:rsidRDefault="005E3B8B">
      <w:pPr>
        <w:pStyle w:val="Heading1"/>
        <w:spacing w:before="160"/>
        <w:rPr>
          <w:rFonts w:ascii="Inter" w:hAnsi="Inter"/>
          <w:color w:val="002060"/>
          <w:sz w:val="24"/>
          <w:szCs w:val="24"/>
        </w:rPr>
      </w:pPr>
      <w:bookmarkStart w:id="20" w:name="_Toc231616963"/>
      <w:r>
        <w:rPr>
          <w:rFonts w:ascii="Inter" w:hAnsi="Inter"/>
          <w:color w:val="002060"/>
          <w:sz w:val="24"/>
          <w:szCs w:val="24"/>
        </w:rPr>
        <w:lastRenderedPageBreak/>
        <w:t>4.2 Sampling Design and Survey Instruments</w:t>
      </w:r>
      <w:bookmarkEnd w:id="20"/>
    </w:p>
    <w:p w:rsidR="00FB0435" w:rsidRDefault="005E3B8B">
      <w:pPr>
        <w:rPr>
          <w:rFonts w:ascii="Inter" w:hAnsi="Inter"/>
          <w:color w:val="000000" w:themeColor="text1"/>
        </w:rPr>
      </w:pPr>
      <w:r>
        <w:rPr>
          <w:rFonts w:ascii="Inter" w:hAnsi="Inter"/>
          <w:color w:val="000000" w:themeColor="text1"/>
        </w:rPr>
        <w:t>The Consultant shall apply a stratified multi-stage cluster sampling design that ensures statistical repres</w:t>
      </w:r>
      <w:r>
        <w:rPr>
          <w:rFonts w:ascii="Inter" w:hAnsi="Inter"/>
          <w:color w:val="000000" w:themeColor="text1"/>
        </w:rPr>
        <w:t xml:space="preserve">entativeness at the national and regional levels. The sample shall be stratified by: (i) region; (ii) agro-ecological zone; (iii) livestock density class; </w:t>
      </w:r>
      <w:proofErr w:type="gramStart"/>
      <w:r>
        <w:rPr>
          <w:rFonts w:ascii="Inter" w:hAnsi="Inter"/>
          <w:color w:val="000000" w:themeColor="text1"/>
        </w:rPr>
        <w:t>(iv) proximity</w:t>
      </w:r>
      <w:proofErr w:type="gramEnd"/>
      <w:r>
        <w:rPr>
          <w:rFonts w:ascii="Inter" w:hAnsi="Inter"/>
          <w:color w:val="000000" w:themeColor="text1"/>
        </w:rPr>
        <w:t xml:space="preserve"> to water sources; and (v) urban/rural classification. The minimum required sample size</w:t>
      </w:r>
      <w:r>
        <w:rPr>
          <w:rFonts w:ascii="Inter" w:hAnsi="Inter"/>
          <w:color w:val="000000" w:themeColor="text1"/>
        </w:rPr>
        <w:t xml:space="preserve"> shall be calculated using standard formula with 95 percent confidence level, 5 percent margin of error, and design effect correction for cluster sampling.</w:t>
      </w:r>
    </w:p>
    <w:p w:rsidR="00FB0435" w:rsidRDefault="005E3B8B">
      <w:pPr>
        <w:rPr>
          <w:rFonts w:ascii="Inter" w:hAnsi="Inter"/>
          <w:color w:val="000000" w:themeColor="text1"/>
        </w:rPr>
      </w:pPr>
      <w:r>
        <w:rPr>
          <w:rFonts w:ascii="Inter" w:hAnsi="Inter"/>
          <w:color w:val="000000" w:themeColor="text1"/>
        </w:rPr>
        <w:t>Survey instruments shall be designed following best practice from the World Bank Living Standards Me</w:t>
      </w:r>
      <w:r>
        <w:rPr>
          <w:rFonts w:ascii="Inter" w:hAnsi="Inter"/>
          <w:color w:val="000000" w:themeColor="text1"/>
        </w:rPr>
        <w:t>asurement Study (LSMS), the IEA Multi-Tier Framework for energy access tracking, and the GOGLA energy access survey toolkit. Instruments shall be pre-tested in at least three zones before full deployment.</w:t>
      </w:r>
    </w:p>
    <w:p w:rsidR="00FB0435" w:rsidRDefault="005E3B8B">
      <w:pPr>
        <w:rPr>
          <w:rFonts w:ascii="Inter" w:hAnsi="Inter"/>
          <w:color w:val="000000" w:themeColor="text1"/>
        </w:rPr>
      </w:pPr>
      <w:r>
        <w:rPr>
          <w:rFonts w:ascii="Inter" w:hAnsi="Inter"/>
          <w:color w:val="000000" w:themeColor="text1"/>
        </w:rPr>
        <w:t>Data collection shall be executed using Computer-As</w:t>
      </w:r>
      <w:r>
        <w:rPr>
          <w:rFonts w:ascii="Inter" w:hAnsi="Inter"/>
          <w:color w:val="000000" w:themeColor="text1"/>
        </w:rPr>
        <w:t xml:space="preserve">sisted Personal Interviewing (CAPI) with GPS-tagged field records, employing Survey CTO, </w:t>
      </w:r>
      <w:proofErr w:type="spellStart"/>
      <w:r>
        <w:rPr>
          <w:rFonts w:ascii="Inter" w:hAnsi="Inter"/>
          <w:color w:val="000000" w:themeColor="text1"/>
        </w:rPr>
        <w:t>KoboToolbox</w:t>
      </w:r>
      <w:proofErr w:type="spellEnd"/>
      <w:r>
        <w:rPr>
          <w:rFonts w:ascii="Inter" w:hAnsi="Inter"/>
          <w:color w:val="000000" w:themeColor="text1"/>
        </w:rPr>
        <w:t xml:space="preserve">, or an equivalent approved platform. All data shall be encrypted, backed up in real time, and stored in compliance with </w:t>
      </w:r>
      <w:proofErr w:type="spellStart"/>
      <w:r>
        <w:rPr>
          <w:rFonts w:ascii="Inter" w:hAnsi="Inter"/>
          <w:color w:val="000000" w:themeColor="text1"/>
        </w:rPr>
        <w:t>GoE</w:t>
      </w:r>
      <w:proofErr w:type="spellEnd"/>
      <w:r>
        <w:rPr>
          <w:rFonts w:ascii="Inter" w:hAnsi="Inter"/>
          <w:color w:val="000000" w:themeColor="text1"/>
        </w:rPr>
        <w:t xml:space="preserve"> data protection guidelines.</w:t>
      </w:r>
    </w:p>
    <w:p w:rsidR="00FB0435" w:rsidRDefault="005E3B8B">
      <w:pPr>
        <w:pStyle w:val="Heading1"/>
        <w:spacing w:before="160"/>
        <w:rPr>
          <w:rFonts w:ascii="Inter" w:hAnsi="Inter"/>
          <w:color w:val="002060"/>
          <w:sz w:val="24"/>
          <w:szCs w:val="24"/>
        </w:rPr>
      </w:pPr>
      <w:bookmarkStart w:id="21" w:name="_Toc231616964"/>
      <w:r>
        <w:rPr>
          <w:rFonts w:ascii="Inter" w:hAnsi="Inter"/>
          <w:color w:val="002060"/>
          <w:sz w:val="24"/>
          <w:szCs w:val="24"/>
        </w:rPr>
        <w:t>4.3</w:t>
      </w:r>
      <w:r>
        <w:rPr>
          <w:rFonts w:ascii="Inter" w:hAnsi="Inter"/>
          <w:color w:val="002060"/>
          <w:sz w:val="24"/>
          <w:szCs w:val="24"/>
        </w:rPr>
        <w:t xml:space="preserve"> Feedstock and Resource Assessment</w:t>
      </w:r>
      <w:bookmarkEnd w:id="21"/>
    </w:p>
    <w:p w:rsidR="00FB0435" w:rsidRDefault="005E3B8B">
      <w:pPr>
        <w:spacing w:line="276" w:lineRule="auto"/>
        <w:rPr>
          <w:rFonts w:ascii="Inter" w:hAnsi="Inter"/>
          <w:color w:val="000000" w:themeColor="text1"/>
        </w:rPr>
      </w:pPr>
      <w:r>
        <w:rPr>
          <w:rFonts w:ascii="Inter" w:hAnsi="Inter"/>
          <w:color w:val="000000" w:themeColor="text1"/>
        </w:rPr>
        <w:t xml:space="preserve">The biogas feedstock and resource assessment shall follow a spatially explicit methodology integrating field survey data with secondary data from the Ethiopian Central Statistical Agency, </w:t>
      </w:r>
      <w:proofErr w:type="spellStart"/>
      <w:r>
        <w:rPr>
          <w:rFonts w:ascii="Inter" w:hAnsi="Inter"/>
          <w:color w:val="000000" w:themeColor="text1"/>
        </w:rPr>
        <w:t>MoA</w:t>
      </w:r>
      <w:proofErr w:type="spellEnd"/>
      <w:r>
        <w:rPr>
          <w:rFonts w:ascii="Inter" w:hAnsi="Inter"/>
          <w:color w:val="000000" w:themeColor="text1"/>
        </w:rPr>
        <w:t xml:space="preserve"> livestock census, satellite </w:t>
      </w:r>
      <w:r>
        <w:rPr>
          <w:rFonts w:ascii="Inter" w:hAnsi="Inter"/>
          <w:color w:val="000000" w:themeColor="text1"/>
        </w:rPr>
        <w:t>imagery, and hydrological datasets. The Consultant shall:</w:t>
      </w:r>
    </w:p>
    <w:p w:rsidR="00FB0435" w:rsidRDefault="005E3B8B">
      <w:pPr>
        <w:pStyle w:val="ListParagraph"/>
        <w:numPr>
          <w:ilvl w:val="0"/>
          <w:numId w:val="8"/>
        </w:numPr>
        <w:spacing w:line="276" w:lineRule="auto"/>
        <w:rPr>
          <w:rFonts w:ascii="Inter" w:hAnsi="Inter"/>
          <w:color w:val="000000" w:themeColor="text1"/>
        </w:rPr>
      </w:pPr>
      <w:r>
        <w:rPr>
          <w:rFonts w:ascii="Inter" w:hAnsi="Inter"/>
          <w:color w:val="000000" w:themeColor="text1"/>
        </w:rPr>
        <w:t xml:space="preserve">Quantify per-head daily dung production by livestock category (majorly cattle) </w:t>
      </w:r>
    </w:p>
    <w:p w:rsidR="00FB0435" w:rsidRDefault="005E3B8B">
      <w:pPr>
        <w:pStyle w:val="ListParagraph"/>
        <w:numPr>
          <w:ilvl w:val="0"/>
          <w:numId w:val="8"/>
        </w:numPr>
        <w:spacing w:line="276" w:lineRule="auto"/>
        <w:rPr>
          <w:rFonts w:ascii="Inter" w:hAnsi="Inter"/>
          <w:color w:val="000000" w:themeColor="text1"/>
        </w:rPr>
      </w:pPr>
      <w:r>
        <w:rPr>
          <w:rFonts w:ascii="Inter" w:hAnsi="Inter"/>
          <w:color w:val="000000" w:themeColor="text1"/>
        </w:rPr>
        <w:t xml:space="preserve">Assess the collectability </w:t>
      </w:r>
      <w:proofErr w:type="gramStart"/>
      <w:r>
        <w:rPr>
          <w:rFonts w:ascii="Inter" w:hAnsi="Inter"/>
          <w:color w:val="000000" w:themeColor="text1"/>
        </w:rPr>
        <w:t xml:space="preserve">factor </w:t>
      </w:r>
      <w:r>
        <w:rPr>
          <w:rFonts w:ascii="Inter" w:hAnsi="Inter"/>
          <w:b/>
          <w:color w:val="000000" w:themeColor="text1"/>
        </w:rPr>
        <w:t xml:space="preserve"> </w:t>
      </w:r>
      <w:r>
        <w:rPr>
          <w:rFonts w:ascii="Inter" w:hAnsi="Inter"/>
          <w:color w:val="000000" w:themeColor="text1"/>
        </w:rPr>
        <w:t>the</w:t>
      </w:r>
      <w:proofErr w:type="gramEnd"/>
      <w:r>
        <w:rPr>
          <w:rFonts w:ascii="Inter" w:hAnsi="Inter"/>
          <w:color w:val="000000" w:themeColor="text1"/>
        </w:rPr>
        <w:t xml:space="preserve"> proportion of theoretical dung production that can realistically be collected fo</w:t>
      </w:r>
      <w:r>
        <w:rPr>
          <w:rFonts w:ascii="Inter" w:hAnsi="Inter"/>
          <w:color w:val="000000" w:themeColor="text1"/>
        </w:rPr>
        <w:t xml:space="preserve">r digestion </w:t>
      </w:r>
      <w:r>
        <w:rPr>
          <w:rFonts w:ascii="Inter" w:hAnsi="Inter"/>
          <w:b/>
          <w:color w:val="000000" w:themeColor="text1"/>
        </w:rPr>
        <w:t xml:space="preserve"> </w:t>
      </w:r>
      <w:r>
        <w:rPr>
          <w:rFonts w:ascii="Inter" w:hAnsi="Inter"/>
          <w:color w:val="000000" w:themeColor="text1"/>
        </w:rPr>
        <w:t xml:space="preserve">adjusting for grazing patterns, night penning practices, </w:t>
      </w:r>
      <w:proofErr w:type="spellStart"/>
      <w:r>
        <w:rPr>
          <w:rFonts w:ascii="Inter" w:hAnsi="Inter"/>
          <w:color w:val="000000" w:themeColor="text1"/>
        </w:rPr>
        <w:t>labour</w:t>
      </w:r>
      <w:proofErr w:type="spellEnd"/>
      <w:r>
        <w:rPr>
          <w:rFonts w:ascii="Inter" w:hAnsi="Inter"/>
          <w:color w:val="000000" w:themeColor="text1"/>
        </w:rPr>
        <w:t xml:space="preserve"> availability, and seasonal variation.</w:t>
      </w:r>
    </w:p>
    <w:p w:rsidR="00FB0435" w:rsidRDefault="005E3B8B">
      <w:pPr>
        <w:pStyle w:val="ListParagraph"/>
        <w:numPr>
          <w:ilvl w:val="0"/>
          <w:numId w:val="8"/>
        </w:numPr>
        <w:spacing w:line="276" w:lineRule="auto"/>
        <w:rPr>
          <w:rFonts w:ascii="Inter" w:hAnsi="Inter"/>
          <w:color w:val="000000" w:themeColor="text1"/>
        </w:rPr>
      </w:pPr>
      <w:r>
        <w:rPr>
          <w:rFonts w:ascii="Inter" w:hAnsi="Inter"/>
          <w:color w:val="000000" w:themeColor="text1"/>
        </w:rPr>
        <w:t xml:space="preserve">Map feedstock availability at </w:t>
      </w:r>
      <w:proofErr w:type="spellStart"/>
      <w:r>
        <w:rPr>
          <w:rFonts w:ascii="Inter" w:hAnsi="Inter"/>
          <w:color w:val="000000" w:themeColor="text1"/>
        </w:rPr>
        <w:t>woreda</w:t>
      </w:r>
      <w:proofErr w:type="spellEnd"/>
      <w:r>
        <w:rPr>
          <w:rFonts w:ascii="Inter" w:hAnsi="Inter"/>
          <w:color w:val="000000" w:themeColor="text1"/>
        </w:rPr>
        <w:t xml:space="preserve"> level using GIS overlays of livestock census data, land use data and administrative boundaries.</w:t>
      </w:r>
    </w:p>
    <w:p w:rsidR="00FB0435" w:rsidRDefault="005E3B8B">
      <w:pPr>
        <w:pStyle w:val="ListParagraph"/>
        <w:numPr>
          <w:ilvl w:val="0"/>
          <w:numId w:val="8"/>
        </w:numPr>
        <w:spacing w:line="276" w:lineRule="auto"/>
        <w:rPr>
          <w:rFonts w:ascii="Inter" w:hAnsi="Inter"/>
          <w:color w:val="000000" w:themeColor="text1"/>
        </w:rPr>
      </w:pPr>
      <w:r>
        <w:rPr>
          <w:rFonts w:ascii="Inter" w:hAnsi="Inter"/>
          <w:color w:val="000000" w:themeColor="text1"/>
        </w:rPr>
        <w:t>Assess f</w:t>
      </w:r>
      <w:r>
        <w:rPr>
          <w:rFonts w:ascii="Inter" w:hAnsi="Inter"/>
          <w:color w:val="000000" w:themeColor="text1"/>
        </w:rPr>
        <w:t>ood waste generation potential at institutional and commercial nodes using waste audit protocols aligned with FAO's Food Loss and Waste methodology.</w:t>
      </w:r>
    </w:p>
    <w:p w:rsidR="00FB0435" w:rsidRDefault="005E3B8B">
      <w:pPr>
        <w:pStyle w:val="ListParagraph"/>
        <w:numPr>
          <w:ilvl w:val="0"/>
          <w:numId w:val="8"/>
        </w:numPr>
        <w:spacing w:line="276" w:lineRule="auto"/>
        <w:rPr>
          <w:rFonts w:ascii="Inter" w:hAnsi="Inter"/>
          <w:color w:val="000000" w:themeColor="text1"/>
        </w:rPr>
      </w:pPr>
      <w:r>
        <w:rPr>
          <w:rFonts w:ascii="Inter" w:hAnsi="Inter"/>
          <w:color w:val="000000" w:themeColor="text1"/>
        </w:rPr>
        <w:t xml:space="preserve">Characterize water access for biogas </w:t>
      </w:r>
      <w:proofErr w:type="gramStart"/>
      <w:r>
        <w:rPr>
          <w:rFonts w:ascii="Inter" w:hAnsi="Inter"/>
          <w:color w:val="000000" w:themeColor="text1"/>
        </w:rPr>
        <w:t>operations  and</w:t>
      </w:r>
      <w:proofErr w:type="gramEnd"/>
      <w:r>
        <w:rPr>
          <w:rFonts w:ascii="Inter" w:hAnsi="Inter"/>
          <w:color w:val="000000" w:themeColor="text1"/>
        </w:rPr>
        <w:t xml:space="preserve"> GIS based water availability analysis.</w:t>
      </w:r>
    </w:p>
    <w:p w:rsidR="00FB0435" w:rsidRDefault="005E3B8B">
      <w:pPr>
        <w:pStyle w:val="Heading1"/>
        <w:spacing w:before="160"/>
        <w:rPr>
          <w:rFonts w:ascii="Inter" w:hAnsi="Inter"/>
          <w:color w:val="002060"/>
          <w:sz w:val="24"/>
          <w:szCs w:val="24"/>
        </w:rPr>
      </w:pPr>
      <w:bookmarkStart w:id="22" w:name="_Toc231616965"/>
      <w:r>
        <w:rPr>
          <w:rFonts w:ascii="Inter" w:hAnsi="Inter"/>
          <w:color w:val="002060"/>
          <w:sz w:val="24"/>
          <w:szCs w:val="24"/>
        </w:rPr>
        <w:t xml:space="preserve">4.4 GHG </w:t>
      </w:r>
      <w:r>
        <w:rPr>
          <w:rFonts w:ascii="Inter" w:hAnsi="Inter"/>
          <w:color w:val="002060"/>
          <w:sz w:val="24"/>
          <w:szCs w:val="24"/>
        </w:rPr>
        <w:t>Emission Reduction and Carbon Finance Assessment</w:t>
      </w:r>
      <w:bookmarkEnd w:id="22"/>
    </w:p>
    <w:p w:rsidR="00FB0435" w:rsidRDefault="005E3B8B">
      <w:pPr>
        <w:rPr>
          <w:rFonts w:ascii="Inter" w:hAnsi="Inter"/>
          <w:color w:val="000000" w:themeColor="text1"/>
        </w:rPr>
      </w:pPr>
      <w:r>
        <w:rPr>
          <w:rFonts w:ascii="Inter" w:hAnsi="Inter"/>
          <w:color w:val="000000" w:themeColor="text1"/>
        </w:rPr>
        <w:t>The GHG emission reduction assessment shall apply IPCC Tier 2 methodologies and shall:</w:t>
      </w:r>
    </w:p>
    <w:p w:rsidR="00FB0435" w:rsidRDefault="005E3B8B">
      <w:pPr>
        <w:pStyle w:val="ListParagraph"/>
        <w:numPr>
          <w:ilvl w:val="0"/>
          <w:numId w:val="8"/>
        </w:numPr>
        <w:rPr>
          <w:rFonts w:ascii="Inter" w:hAnsi="Inter"/>
          <w:color w:val="000000" w:themeColor="text1"/>
        </w:rPr>
      </w:pPr>
      <w:r>
        <w:rPr>
          <w:rFonts w:ascii="Inter" w:hAnsi="Inter"/>
          <w:color w:val="000000" w:themeColor="text1"/>
        </w:rPr>
        <w:lastRenderedPageBreak/>
        <w:t>Quantify baseline emissions from displaced traditional biomass cooking using country-specific emission factors from Ethi</w:t>
      </w:r>
      <w:r>
        <w:rPr>
          <w:rFonts w:ascii="Inter" w:hAnsi="Inter"/>
          <w:color w:val="000000" w:themeColor="text1"/>
        </w:rPr>
        <w:t>opia's National GHG Inventory.</w:t>
      </w:r>
    </w:p>
    <w:p w:rsidR="00FB0435" w:rsidRDefault="005E3B8B">
      <w:pPr>
        <w:pStyle w:val="ListParagraph"/>
        <w:numPr>
          <w:ilvl w:val="0"/>
          <w:numId w:val="8"/>
        </w:numPr>
        <w:rPr>
          <w:rFonts w:ascii="Inter" w:hAnsi="Inter"/>
          <w:color w:val="000000" w:themeColor="text1"/>
        </w:rPr>
      </w:pPr>
      <w:r>
        <w:rPr>
          <w:rFonts w:ascii="Inter" w:hAnsi="Inter"/>
          <w:color w:val="000000" w:themeColor="text1"/>
        </w:rPr>
        <w:t xml:space="preserve">Quantify emission reductions from methane capture and </w:t>
      </w:r>
      <w:proofErr w:type="spellStart"/>
      <w:r>
        <w:rPr>
          <w:rFonts w:ascii="Inter" w:hAnsi="Inter"/>
          <w:color w:val="000000" w:themeColor="text1"/>
        </w:rPr>
        <w:t>utilisation</w:t>
      </w:r>
      <w:proofErr w:type="spellEnd"/>
      <w:r>
        <w:rPr>
          <w:rFonts w:ascii="Inter" w:hAnsi="Inter"/>
          <w:color w:val="000000" w:themeColor="text1"/>
        </w:rPr>
        <w:t>, methane leakage reduction from livestock manure management, and carbon stock changes from reduced deforestation.</w:t>
      </w:r>
    </w:p>
    <w:p w:rsidR="00FB0435" w:rsidRDefault="005E3B8B">
      <w:pPr>
        <w:pStyle w:val="ListParagraph"/>
        <w:numPr>
          <w:ilvl w:val="0"/>
          <w:numId w:val="8"/>
        </w:numPr>
        <w:rPr>
          <w:rFonts w:ascii="Inter" w:hAnsi="Inter"/>
          <w:color w:val="000000" w:themeColor="text1"/>
        </w:rPr>
      </w:pPr>
      <w:r>
        <w:rPr>
          <w:rFonts w:ascii="Inter" w:hAnsi="Inter"/>
          <w:color w:val="000000" w:themeColor="text1"/>
        </w:rPr>
        <w:t>Estimate national-level emission reduction po</w:t>
      </w:r>
      <w:r>
        <w:rPr>
          <w:rFonts w:ascii="Inter" w:hAnsi="Inter"/>
          <w:color w:val="000000" w:themeColor="text1"/>
        </w:rPr>
        <w:t>tential under three deployment scenarios: conservative (10% of technical potential), moderate (30%), and ambitious (60%).</w:t>
      </w:r>
    </w:p>
    <w:p w:rsidR="00FB0435" w:rsidRDefault="005E3B8B">
      <w:pPr>
        <w:pStyle w:val="ListParagraph"/>
        <w:numPr>
          <w:ilvl w:val="0"/>
          <w:numId w:val="8"/>
        </w:numPr>
        <w:rPr>
          <w:rFonts w:ascii="Inter" w:hAnsi="Inter"/>
          <w:color w:val="000000" w:themeColor="text1"/>
        </w:rPr>
      </w:pPr>
      <w:r>
        <w:rPr>
          <w:rFonts w:ascii="Inter" w:hAnsi="Inter"/>
          <w:color w:val="000000" w:themeColor="text1"/>
        </w:rPr>
        <w:t xml:space="preserve">Assess eligibility of proposed biogas projects for registration under the </w:t>
      </w:r>
      <w:proofErr w:type="spellStart"/>
      <w:r>
        <w:rPr>
          <w:rFonts w:ascii="Inter" w:hAnsi="Inter"/>
          <w:color w:val="000000" w:themeColor="text1"/>
        </w:rPr>
        <w:t>Verra</w:t>
      </w:r>
      <w:proofErr w:type="spellEnd"/>
      <w:r>
        <w:rPr>
          <w:rFonts w:ascii="Inter" w:hAnsi="Inter"/>
          <w:color w:val="000000" w:themeColor="text1"/>
        </w:rPr>
        <w:t xml:space="preserve"> Verified Carbon Standard (VCS), Gold Standard, and CDM</w:t>
      </w:r>
      <w:r>
        <w:rPr>
          <w:rFonts w:ascii="Inter" w:hAnsi="Inter"/>
          <w:color w:val="000000" w:themeColor="text1"/>
        </w:rPr>
        <w:t xml:space="preserve"> </w:t>
      </w:r>
      <w:proofErr w:type="spellStart"/>
      <w:r>
        <w:rPr>
          <w:rFonts w:ascii="Inter" w:hAnsi="Inter"/>
          <w:color w:val="000000" w:themeColor="text1"/>
        </w:rPr>
        <w:t>Programme</w:t>
      </w:r>
      <w:proofErr w:type="spellEnd"/>
      <w:r>
        <w:rPr>
          <w:rFonts w:ascii="Inter" w:hAnsi="Inter"/>
          <w:color w:val="000000" w:themeColor="text1"/>
        </w:rPr>
        <w:t xml:space="preserve"> of Activities, and estimate potential carbon revenue streams.</w:t>
      </w:r>
    </w:p>
    <w:p w:rsidR="00FB0435" w:rsidRDefault="005E3B8B">
      <w:pPr>
        <w:pStyle w:val="ListParagraph"/>
        <w:numPr>
          <w:ilvl w:val="0"/>
          <w:numId w:val="8"/>
        </w:numPr>
        <w:rPr>
          <w:rFonts w:ascii="Inter" w:hAnsi="Inter"/>
          <w:color w:val="000000" w:themeColor="text1"/>
        </w:rPr>
      </w:pPr>
      <w:r>
        <w:rPr>
          <w:rFonts w:ascii="Inter" w:hAnsi="Inter"/>
          <w:color w:val="000000" w:themeColor="text1"/>
        </w:rPr>
        <w:t>Align quantification methodology with Ethiopia's Biennial Update Reports and NDC implementation framework.</w:t>
      </w:r>
    </w:p>
    <w:p w:rsidR="00FB0435" w:rsidRDefault="005E3B8B">
      <w:pPr>
        <w:pStyle w:val="Heading1"/>
        <w:spacing w:before="160" w:line="276" w:lineRule="auto"/>
        <w:rPr>
          <w:rFonts w:ascii="Inter" w:hAnsi="Inter"/>
          <w:color w:val="002060"/>
          <w:sz w:val="24"/>
          <w:szCs w:val="24"/>
        </w:rPr>
      </w:pPr>
      <w:bookmarkStart w:id="23" w:name="_Toc231616966"/>
      <w:r>
        <w:rPr>
          <w:rFonts w:ascii="Inter" w:hAnsi="Inter"/>
          <w:color w:val="002060"/>
          <w:sz w:val="24"/>
          <w:szCs w:val="24"/>
        </w:rPr>
        <w:t>5. REQUIREMENTS FOR COMPANIES DURING APPLICATION</w:t>
      </w:r>
      <w:bookmarkEnd w:id="23"/>
    </w:p>
    <w:p w:rsidR="00FB0435" w:rsidRDefault="005E3B8B">
      <w:pPr>
        <w:pStyle w:val="NormalWeb"/>
        <w:spacing w:before="160" w:beforeAutospacing="0" w:after="160" w:afterAutospacing="0" w:line="276" w:lineRule="auto"/>
        <w:jc w:val="both"/>
        <w:rPr>
          <w:rFonts w:ascii="Inter" w:hAnsi="Inter"/>
          <w:color w:val="000000"/>
        </w:rPr>
      </w:pPr>
      <w:r>
        <w:rPr>
          <w:rFonts w:ascii="Inter" w:hAnsi="Inter"/>
          <w:color w:val="000000"/>
        </w:rPr>
        <w:t>Eligible firms must be lega</w:t>
      </w:r>
      <w:r>
        <w:rPr>
          <w:rFonts w:ascii="Inter" w:hAnsi="Inter"/>
          <w:color w:val="000000"/>
        </w:rPr>
        <w:t>lly registered and in good standing with relevant tax and business authorities. The assignment is open to national consulting firms or consortia with demonstrated capacity in energy, environment, agriculture, or related sectors. Applicants must have at lea</w:t>
      </w:r>
      <w:r>
        <w:rPr>
          <w:rFonts w:ascii="Inter" w:hAnsi="Inter"/>
          <w:color w:val="000000"/>
        </w:rPr>
        <w:t>st</w:t>
      </w:r>
      <w:r>
        <w:rPr>
          <w:rFonts w:ascii="Inter" w:hAnsi="Inter"/>
          <w:color w:val="000000" w:themeColor="text1"/>
        </w:rPr>
        <w:t xml:space="preserve"> 7 </w:t>
      </w:r>
      <w:r>
        <w:rPr>
          <w:rFonts w:ascii="Inter" w:hAnsi="Inter"/>
          <w:color w:val="000000"/>
        </w:rPr>
        <w:t>years of relevant experience in large-scale national surveys, renewable energy assessments, or socio-economic studies in developing country contexts. Proven expertise in Productive Use of energy, Biomass Assessments, Biogas systems, Waste-to-energy, G</w:t>
      </w:r>
      <w:r>
        <w:rPr>
          <w:rFonts w:ascii="Inter" w:hAnsi="Inter"/>
          <w:color w:val="000000"/>
        </w:rPr>
        <w:t xml:space="preserve">IS-based spatial analysis, and energy access surveys is essential. The consortium must demonstrate strong data collection capacity using digital platforms such as CAPI systems, alongside experience in statistical analysis and large dataset management. Key </w:t>
      </w:r>
      <w:r>
        <w:rPr>
          <w:rFonts w:ascii="Inter" w:hAnsi="Inter"/>
          <w:color w:val="000000"/>
        </w:rPr>
        <w:t>personnel must include experts in energy systems, GIS, statistics, environmental science, agriculture, rural development and socio-economic analysis. Demonstrated financial and operational capacity to manage multi-region fieldwork is required, with experie</w:t>
      </w:r>
      <w:r>
        <w:rPr>
          <w:rFonts w:ascii="Inter" w:hAnsi="Inter"/>
          <w:color w:val="000000"/>
        </w:rPr>
        <w:t>nce in Ethiopia or similar contexts considered an advantage.</w:t>
      </w:r>
    </w:p>
    <w:p w:rsidR="00FB0435" w:rsidRDefault="005E3B8B">
      <w:pPr>
        <w:pStyle w:val="Heading1"/>
        <w:spacing w:before="160" w:line="276" w:lineRule="auto"/>
        <w:rPr>
          <w:rFonts w:ascii="Inter" w:hAnsi="Inter"/>
          <w:color w:val="002060"/>
          <w:sz w:val="24"/>
          <w:szCs w:val="24"/>
        </w:rPr>
      </w:pPr>
      <w:bookmarkStart w:id="24" w:name="_Toc231616967"/>
      <w:r>
        <w:rPr>
          <w:rFonts w:ascii="Inter" w:hAnsi="Inter"/>
          <w:color w:val="002060"/>
          <w:sz w:val="24"/>
          <w:szCs w:val="24"/>
        </w:rPr>
        <w:t>6. DELIVERABLES</w:t>
      </w:r>
      <w:bookmarkEnd w:id="24"/>
    </w:p>
    <w:p w:rsidR="00FB0435" w:rsidRDefault="005E3B8B">
      <w:pPr>
        <w:pStyle w:val="NormalWeb"/>
        <w:spacing w:before="160" w:beforeAutospacing="0" w:after="160" w:afterAutospacing="0" w:line="276" w:lineRule="auto"/>
        <w:jc w:val="both"/>
        <w:rPr>
          <w:rFonts w:ascii="Inter" w:hAnsi="Inter"/>
          <w:color w:val="000000"/>
        </w:rPr>
      </w:pPr>
      <w:r>
        <w:rPr>
          <w:rFonts w:ascii="Inter" w:hAnsi="Inter"/>
          <w:color w:val="000000"/>
        </w:rPr>
        <w:t>The Consultant shall deliver a structured set of outputs beginning with an inception report detailing methodology, sampling design, survey instruments, and implementation plans. I</w:t>
      </w:r>
      <w:r>
        <w:rPr>
          <w:rFonts w:ascii="Inter" w:hAnsi="Inter"/>
          <w:color w:val="000000"/>
        </w:rPr>
        <w:t>nterim outputs shall include pilot testing results, progress reports, and early analytical briefs. Draft deliverables shall consist of the National Biogas Feasibility Report, GIS-based biogas potential atlas, GHG emission reduction assessment, smart villag</w:t>
      </w:r>
      <w:r>
        <w:rPr>
          <w:rFonts w:ascii="Inter" w:hAnsi="Inter"/>
          <w:color w:val="000000"/>
        </w:rPr>
        <w:t>e concept framework, and preliminary investment models. Final deliverables shall include a bankable national biogas feasibility study, validated survey dataset, finalized GIS maps, policy, regulatory and actionable recommendations, for 14 regional packa</w:t>
      </w:r>
      <w:bookmarkStart w:id="25" w:name="_GoBack"/>
      <w:bookmarkEnd w:id="25"/>
      <w:r>
        <w:rPr>
          <w:rFonts w:ascii="Inter" w:hAnsi="Inter"/>
          <w:color w:val="000000"/>
        </w:rPr>
        <w:t>ges</w:t>
      </w:r>
      <w:r>
        <w:rPr>
          <w:rFonts w:ascii="Inter" w:hAnsi="Inter"/>
          <w:color w:val="000000"/>
        </w:rPr>
        <w:t xml:space="preserve">, and an interactive data dashboard. All outputs </w:t>
      </w:r>
      <w:r>
        <w:rPr>
          <w:rFonts w:ascii="Inter" w:hAnsi="Inter"/>
          <w:color w:val="000000"/>
        </w:rPr>
        <w:lastRenderedPageBreak/>
        <w:t>must be of publishable quality and suitable for investment mobilization and policy decision-making.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89"/>
        <w:gridCol w:w="3626"/>
        <w:gridCol w:w="2993"/>
      </w:tblGrid>
      <w:tr w:rsidR="00FB0435">
        <w:tc>
          <w:tcPr>
            <w:tcW w:w="610" w:type="dxa"/>
            <w:shd w:val="clear" w:color="auto" w:fill="D9D9D9"/>
          </w:tcPr>
          <w:p w:rsidR="00FB0435" w:rsidRDefault="005E3B8B">
            <w:pPr>
              <w:spacing w:after="0" w:line="360" w:lineRule="auto"/>
              <w:rPr>
                <w:rFonts w:ascii="Inter" w:eastAsia="Calibri" w:hAnsi="Inter"/>
                <w:b/>
              </w:rPr>
            </w:pPr>
            <w:r>
              <w:rPr>
                <w:rFonts w:ascii="Inter" w:eastAsia="Calibri" w:hAnsi="Inter"/>
                <w:b/>
              </w:rPr>
              <w:t>No.</w:t>
            </w:r>
          </w:p>
        </w:tc>
        <w:tc>
          <w:tcPr>
            <w:tcW w:w="2689" w:type="dxa"/>
            <w:shd w:val="clear" w:color="auto" w:fill="D9D9D9"/>
          </w:tcPr>
          <w:p w:rsidR="00FB0435" w:rsidRDefault="005E3B8B">
            <w:pPr>
              <w:spacing w:after="0" w:line="360" w:lineRule="auto"/>
              <w:rPr>
                <w:rFonts w:ascii="Inter" w:eastAsia="Calibri" w:hAnsi="Inter"/>
                <w:b/>
              </w:rPr>
            </w:pPr>
            <w:r>
              <w:rPr>
                <w:rFonts w:ascii="Inter" w:eastAsia="Calibri" w:hAnsi="Inter"/>
                <w:b/>
              </w:rPr>
              <w:t>Deliverables / Outputs</w:t>
            </w:r>
          </w:p>
        </w:tc>
        <w:tc>
          <w:tcPr>
            <w:tcW w:w="3626" w:type="dxa"/>
            <w:shd w:val="clear" w:color="auto" w:fill="D9D9D9"/>
          </w:tcPr>
          <w:p w:rsidR="00FB0435" w:rsidRDefault="005E3B8B">
            <w:pPr>
              <w:spacing w:after="0" w:line="360" w:lineRule="auto"/>
              <w:rPr>
                <w:rFonts w:ascii="Inter" w:eastAsia="Calibri" w:hAnsi="Inter"/>
                <w:b/>
              </w:rPr>
            </w:pPr>
            <w:r>
              <w:rPr>
                <w:rFonts w:ascii="Inter" w:eastAsia="Calibri" w:hAnsi="Inter"/>
                <w:b/>
              </w:rPr>
              <w:t>Estimated Duration to Complete</w:t>
            </w:r>
          </w:p>
        </w:tc>
        <w:tc>
          <w:tcPr>
            <w:tcW w:w="2993" w:type="dxa"/>
            <w:shd w:val="clear" w:color="auto" w:fill="D9D9D9"/>
          </w:tcPr>
          <w:p w:rsidR="00FB0435" w:rsidRDefault="005E3B8B">
            <w:pPr>
              <w:spacing w:after="0" w:line="360" w:lineRule="auto"/>
              <w:rPr>
                <w:rFonts w:ascii="Inter" w:eastAsia="Calibri" w:hAnsi="Inter"/>
                <w:b/>
              </w:rPr>
            </w:pPr>
            <w:r>
              <w:rPr>
                <w:rFonts w:ascii="Inter" w:eastAsia="Calibri" w:hAnsi="Inter"/>
                <w:b/>
              </w:rPr>
              <w:t xml:space="preserve">Review and Approvals Required </w:t>
            </w:r>
          </w:p>
        </w:tc>
      </w:tr>
      <w:tr w:rsidR="00FB0435">
        <w:trPr>
          <w:trHeight w:val="90"/>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1</w:t>
            </w:r>
          </w:p>
        </w:tc>
        <w:tc>
          <w:tcPr>
            <w:tcW w:w="2689"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 xml:space="preserve">Inception </w:t>
            </w:r>
            <w:r>
              <w:rPr>
                <w:rFonts w:ascii="Inter" w:eastAsia="Calibri" w:hAnsi="Inter"/>
                <w:b/>
                <w:bCs/>
              </w:rPr>
              <w:t>Report</w:t>
            </w:r>
          </w:p>
        </w:tc>
        <w:tc>
          <w:tcPr>
            <w:tcW w:w="3626" w:type="dxa"/>
            <w:shd w:val="clear" w:color="auto" w:fill="FFFFFF"/>
          </w:tcPr>
          <w:p w:rsidR="00FB0435" w:rsidRDefault="005E3B8B">
            <w:pPr>
              <w:spacing w:after="0" w:line="360" w:lineRule="auto"/>
              <w:rPr>
                <w:rFonts w:ascii="Inter" w:eastAsia="Calibri" w:hAnsi="Inter"/>
              </w:rPr>
            </w:pPr>
            <w:r>
              <w:rPr>
                <w:rFonts w:ascii="Inter" w:eastAsia="Calibri" w:hAnsi="Inter"/>
              </w:rPr>
              <w:t xml:space="preserve">25 days </w:t>
            </w:r>
          </w:p>
        </w:tc>
        <w:tc>
          <w:tcPr>
            <w:tcW w:w="2993" w:type="dxa"/>
            <w:shd w:val="clear" w:color="auto" w:fill="FFFFFF"/>
          </w:tcPr>
          <w:p w:rsidR="00FB0435" w:rsidRDefault="005E3B8B">
            <w:pPr>
              <w:spacing w:after="0" w:line="360" w:lineRule="auto"/>
              <w:rPr>
                <w:rFonts w:ascii="Inter" w:eastAsia="Calibri" w:hAnsi="Inter"/>
              </w:rPr>
            </w:pPr>
            <w:proofErr w:type="spellStart"/>
            <w:r>
              <w:rPr>
                <w:rFonts w:ascii="Inter" w:eastAsia="Calibri" w:hAnsi="Inter"/>
              </w:rPr>
              <w:t>MoWE</w:t>
            </w:r>
            <w:proofErr w:type="spellEnd"/>
            <w:r>
              <w:rPr>
                <w:rFonts w:ascii="Inter" w:eastAsia="Calibri" w:hAnsi="Inter"/>
              </w:rPr>
              <w:t>-NBPE</w:t>
            </w:r>
          </w:p>
        </w:tc>
      </w:tr>
      <w:tr w:rsidR="00FB0435">
        <w:trPr>
          <w:trHeight w:val="269"/>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2</w:t>
            </w:r>
          </w:p>
        </w:tc>
        <w:tc>
          <w:tcPr>
            <w:tcW w:w="2689"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Field Report(Data)</w:t>
            </w:r>
          </w:p>
        </w:tc>
        <w:tc>
          <w:tcPr>
            <w:tcW w:w="3626" w:type="dxa"/>
            <w:shd w:val="clear" w:color="auto" w:fill="FFFFFF"/>
          </w:tcPr>
          <w:p w:rsidR="00FB0435" w:rsidRDefault="005E3B8B">
            <w:pPr>
              <w:spacing w:after="0" w:line="360" w:lineRule="auto"/>
              <w:rPr>
                <w:rFonts w:ascii="Inter" w:eastAsia="Calibri" w:hAnsi="Inter"/>
              </w:rPr>
            </w:pPr>
            <w:r>
              <w:rPr>
                <w:rFonts w:ascii="Inter" w:eastAsia="Calibri" w:hAnsi="Inter"/>
              </w:rPr>
              <w:t>45 days</w:t>
            </w:r>
          </w:p>
        </w:tc>
        <w:tc>
          <w:tcPr>
            <w:tcW w:w="2993" w:type="dxa"/>
            <w:shd w:val="clear" w:color="auto" w:fill="FFFFFF"/>
          </w:tcPr>
          <w:p w:rsidR="00FB0435" w:rsidRDefault="005E3B8B">
            <w:pPr>
              <w:spacing w:after="0" w:line="360" w:lineRule="auto"/>
              <w:rPr>
                <w:rFonts w:ascii="Inter" w:hAnsi="Inter"/>
              </w:rPr>
            </w:pPr>
            <w:proofErr w:type="spellStart"/>
            <w:r>
              <w:rPr>
                <w:rFonts w:ascii="Inter" w:hAnsi="Inter"/>
              </w:rPr>
              <w:t>MoWE</w:t>
            </w:r>
            <w:proofErr w:type="spellEnd"/>
            <w:r>
              <w:rPr>
                <w:rFonts w:ascii="Inter" w:hAnsi="Inter"/>
              </w:rPr>
              <w:t>-NBPE</w:t>
            </w:r>
          </w:p>
        </w:tc>
      </w:tr>
      <w:tr w:rsidR="00FB0435">
        <w:trPr>
          <w:trHeight w:val="269"/>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3</w:t>
            </w:r>
          </w:p>
        </w:tc>
        <w:tc>
          <w:tcPr>
            <w:tcW w:w="2689"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Draft Report</w:t>
            </w:r>
          </w:p>
        </w:tc>
        <w:tc>
          <w:tcPr>
            <w:tcW w:w="3626" w:type="dxa"/>
            <w:shd w:val="clear" w:color="auto" w:fill="FFFFFF"/>
          </w:tcPr>
          <w:p w:rsidR="00FB0435" w:rsidRDefault="005E3B8B">
            <w:pPr>
              <w:spacing w:after="0" w:line="360" w:lineRule="auto"/>
              <w:rPr>
                <w:rFonts w:ascii="Inter" w:eastAsia="Calibri" w:hAnsi="Inter"/>
              </w:rPr>
            </w:pPr>
            <w:r>
              <w:rPr>
                <w:rFonts w:ascii="Inter" w:eastAsia="Calibri" w:hAnsi="Inter"/>
              </w:rPr>
              <w:t>32 Days</w:t>
            </w:r>
          </w:p>
        </w:tc>
        <w:tc>
          <w:tcPr>
            <w:tcW w:w="2993" w:type="dxa"/>
            <w:shd w:val="clear" w:color="auto" w:fill="FFFFFF"/>
          </w:tcPr>
          <w:p w:rsidR="00FB0435" w:rsidRDefault="005E3B8B">
            <w:pPr>
              <w:spacing w:after="0" w:line="360" w:lineRule="auto"/>
              <w:rPr>
                <w:rFonts w:ascii="Inter" w:eastAsia="Calibri" w:hAnsi="Inter"/>
              </w:rPr>
            </w:pPr>
            <w:proofErr w:type="spellStart"/>
            <w:r>
              <w:rPr>
                <w:rFonts w:ascii="Inter" w:hAnsi="Inter"/>
              </w:rPr>
              <w:t>MoWE</w:t>
            </w:r>
            <w:proofErr w:type="spellEnd"/>
            <w:r>
              <w:rPr>
                <w:rFonts w:ascii="Inter" w:hAnsi="Inter"/>
              </w:rPr>
              <w:t>-NBPE</w:t>
            </w:r>
          </w:p>
        </w:tc>
      </w:tr>
      <w:tr w:rsidR="00FB0435">
        <w:trPr>
          <w:trHeight w:val="332"/>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4</w:t>
            </w:r>
          </w:p>
        </w:tc>
        <w:tc>
          <w:tcPr>
            <w:tcW w:w="2689"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Final Report</w:t>
            </w:r>
          </w:p>
        </w:tc>
        <w:tc>
          <w:tcPr>
            <w:tcW w:w="3626" w:type="dxa"/>
            <w:shd w:val="clear" w:color="auto" w:fill="FFFFFF"/>
          </w:tcPr>
          <w:p w:rsidR="00FB0435" w:rsidRDefault="005E3B8B">
            <w:pPr>
              <w:spacing w:after="0" w:line="360" w:lineRule="auto"/>
              <w:rPr>
                <w:rFonts w:ascii="Inter" w:eastAsia="Calibri" w:hAnsi="Inter"/>
              </w:rPr>
            </w:pPr>
            <w:r>
              <w:rPr>
                <w:rFonts w:ascii="Inter" w:eastAsia="Calibri" w:hAnsi="Inter"/>
              </w:rPr>
              <w:t>18 Days</w:t>
            </w:r>
          </w:p>
        </w:tc>
        <w:tc>
          <w:tcPr>
            <w:tcW w:w="2993" w:type="dxa"/>
            <w:shd w:val="clear" w:color="auto" w:fill="FFFFFF"/>
          </w:tcPr>
          <w:p w:rsidR="00FB0435" w:rsidRDefault="005E3B8B">
            <w:pPr>
              <w:spacing w:after="0" w:line="360" w:lineRule="auto"/>
              <w:rPr>
                <w:rFonts w:ascii="Inter" w:eastAsia="Calibri" w:hAnsi="Inter"/>
              </w:rPr>
            </w:pPr>
            <w:proofErr w:type="spellStart"/>
            <w:r>
              <w:rPr>
                <w:rFonts w:ascii="Inter" w:hAnsi="Inter"/>
              </w:rPr>
              <w:t>MoWE</w:t>
            </w:r>
            <w:proofErr w:type="spellEnd"/>
            <w:r>
              <w:rPr>
                <w:rFonts w:ascii="Inter" w:hAnsi="Inter"/>
              </w:rPr>
              <w:t>-NBPE</w:t>
            </w:r>
          </w:p>
        </w:tc>
      </w:tr>
    </w:tbl>
    <w:p w:rsidR="00FB0435" w:rsidRDefault="005E3B8B">
      <w:pPr>
        <w:pStyle w:val="Heading1"/>
        <w:spacing w:before="160" w:line="276" w:lineRule="auto"/>
        <w:rPr>
          <w:rFonts w:ascii="Inter" w:hAnsi="Inter"/>
          <w:color w:val="002060"/>
          <w:sz w:val="24"/>
          <w:szCs w:val="24"/>
        </w:rPr>
      </w:pPr>
      <w:bookmarkStart w:id="26" w:name="_Toc231616968"/>
      <w:r>
        <w:rPr>
          <w:rFonts w:ascii="Inter" w:hAnsi="Inter"/>
          <w:color w:val="002060"/>
          <w:sz w:val="24"/>
          <w:szCs w:val="24"/>
        </w:rPr>
        <w:t>7. IMPLEMENTATION PERIOD AND WORK PLAN</w:t>
      </w:r>
      <w:bookmarkEnd w:id="26"/>
    </w:p>
    <w:p w:rsidR="00FB0435" w:rsidRDefault="005E3B8B">
      <w:pPr>
        <w:pStyle w:val="NormalWeb"/>
        <w:spacing w:before="160" w:beforeAutospacing="0" w:after="160" w:afterAutospacing="0" w:line="276" w:lineRule="auto"/>
        <w:jc w:val="both"/>
        <w:rPr>
          <w:rFonts w:ascii="Inter" w:hAnsi="Inter"/>
          <w:color w:val="000000"/>
        </w:rPr>
      </w:pPr>
      <w:r>
        <w:rPr>
          <w:rFonts w:ascii="Inter" w:hAnsi="Inter"/>
          <w:color w:val="000000"/>
        </w:rPr>
        <w:t xml:space="preserve">The assignment is expected to be completed within 4 months using a phased </w:t>
      </w:r>
      <w:r>
        <w:rPr>
          <w:rFonts w:ascii="Inter" w:hAnsi="Inter"/>
          <w:color w:val="000000"/>
        </w:rPr>
        <w:t>approach. The inception and design phase will establish methodology and tools, followed by pilot testing and large-scale field data collection. Subsequent phases will focus on data analysis, modeling, and reporting, concluding with validation workshops and</w:t>
      </w:r>
      <w:r>
        <w:rPr>
          <w:rFonts w:ascii="Inter" w:hAnsi="Inter"/>
          <w:color w:val="000000"/>
        </w:rPr>
        <w:t xml:space="preserve"> final submission of deliverables. The Consultant shall provide a detailed implementation schedule with clear milestones and timelines.</w:t>
      </w:r>
    </w:p>
    <w:p w:rsidR="00FB0435" w:rsidRDefault="005E3B8B">
      <w:pPr>
        <w:pStyle w:val="Heading1"/>
        <w:spacing w:before="160" w:line="276" w:lineRule="auto"/>
        <w:rPr>
          <w:rFonts w:ascii="Inter" w:hAnsi="Inter"/>
          <w:color w:val="002060"/>
          <w:sz w:val="24"/>
          <w:szCs w:val="24"/>
        </w:rPr>
      </w:pPr>
      <w:bookmarkStart w:id="27" w:name="_Toc231616969"/>
      <w:r>
        <w:rPr>
          <w:rFonts w:ascii="Inter" w:hAnsi="Inter"/>
          <w:color w:val="002060"/>
          <w:sz w:val="24"/>
          <w:szCs w:val="24"/>
        </w:rPr>
        <w:t>8. REPORTING AND COORDINATION</w:t>
      </w:r>
      <w:bookmarkEnd w:id="27"/>
    </w:p>
    <w:p w:rsidR="00FB0435" w:rsidRDefault="005E3B8B">
      <w:pPr>
        <w:spacing w:after="60"/>
        <w:rPr>
          <w:rFonts w:ascii="Inter" w:hAnsi="Inter"/>
          <w:color w:val="000000" w:themeColor="text1"/>
        </w:rPr>
      </w:pPr>
      <w:r>
        <w:rPr>
          <w:rFonts w:ascii="Inter" w:hAnsi="Inter"/>
          <w:color w:val="000000" w:themeColor="text1"/>
        </w:rPr>
        <w:t xml:space="preserve">The </w:t>
      </w:r>
      <w:r>
        <w:rPr>
          <w:rFonts w:ascii="Inter" w:hAnsi="Inter"/>
          <w:color w:val="000000" w:themeColor="text1"/>
          <w:u w:val="single"/>
        </w:rPr>
        <w:t>core team of 3 members must have the following qualification and field of expertise</w:t>
      </w:r>
      <w:r>
        <w:rPr>
          <w:rFonts w:ascii="Inter" w:hAnsi="Inter"/>
          <w:color w:val="000000" w:themeColor="text1"/>
        </w:rPr>
        <w:t xml:space="preserve">: </w:t>
      </w:r>
    </w:p>
    <w:p w:rsidR="00FB0435" w:rsidRDefault="005E3B8B">
      <w:pPr>
        <w:pStyle w:val="ListParagraph"/>
        <w:numPr>
          <w:ilvl w:val="0"/>
          <w:numId w:val="9"/>
        </w:numPr>
        <w:tabs>
          <w:tab w:val="left" w:pos="720"/>
          <w:tab w:val="left" w:pos="794"/>
          <w:tab w:val="left" w:pos="1588"/>
          <w:tab w:val="left" w:pos="2381"/>
          <w:tab w:val="left" w:pos="3175"/>
          <w:tab w:val="left" w:pos="3969"/>
          <w:tab w:val="left" w:pos="4763"/>
          <w:tab w:val="left" w:pos="5557"/>
          <w:tab w:val="left" w:pos="6350"/>
          <w:tab w:val="left" w:pos="7144"/>
        </w:tabs>
        <w:autoSpaceDE w:val="0"/>
        <w:autoSpaceDN w:val="0"/>
        <w:adjustRightInd w:val="0"/>
        <w:spacing w:after="60"/>
        <w:rPr>
          <w:rFonts w:ascii="Inter" w:hAnsi="Inter"/>
          <w:b/>
          <w:color w:val="000000" w:themeColor="text1"/>
        </w:rPr>
      </w:pPr>
      <w:r>
        <w:rPr>
          <w:rFonts w:ascii="Inter" w:hAnsi="Inter"/>
          <w:color w:val="000000" w:themeColor="text1"/>
        </w:rPr>
        <w:t xml:space="preserve">Team Leader – with minimum a PhD/master’s degree in Waste  energy, Biogas, and business administration, or social science or another relevant related fields and at least 10 years of  relevant experience in designing and executing a rural household survey, </w:t>
      </w:r>
      <w:r>
        <w:rPr>
          <w:rFonts w:ascii="Inter" w:hAnsi="Inter"/>
          <w:color w:val="000000" w:themeColor="text1"/>
        </w:rPr>
        <w:t>feasibility study and or impact assessment related to waste energy, etc. in Ethiopia; and abroad</w:t>
      </w:r>
    </w:p>
    <w:p w:rsidR="00FB0435" w:rsidRDefault="005E3B8B">
      <w:pPr>
        <w:pStyle w:val="ListParagraph"/>
        <w:numPr>
          <w:ilvl w:val="0"/>
          <w:numId w:val="9"/>
        </w:numPr>
        <w:tabs>
          <w:tab w:val="left" w:pos="720"/>
          <w:tab w:val="left" w:pos="794"/>
          <w:tab w:val="left" w:pos="1588"/>
          <w:tab w:val="left" w:pos="2381"/>
          <w:tab w:val="left" w:pos="3175"/>
          <w:tab w:val="left" w:pos="3969"/>
          <w:tab w:val="left" w:pos="4763"/>
          <w:tab w:val="left" w:pos="5557"/>
          <w:tab w:val="left" w:pos="6350"/>
          <w:tab w:val="left" w:pos="7144"/>
        </w:tabs>
        <w:autoSpaceDE w:val="0"/>
        <w:autoSpaceDN w:val="0"/>
        <w:adjustRightInd w:val="0"/>
        <w:spacing w:after="60"/>
        <w:rPr>
          <w:rFonts w:ascii="Inter" w:hAnsi="Inter"/>
          <w:b/>
          <w:color w:val="000000" w:themeColor="text1"/>
        </w:rPr>
      </w:pPr>
      <w:r>
        <w:rPr>
          <w:rFonts w:ascii="Inter" w:hAnsi="Inter"/>
          <w:color w:val="000000" w:themeColor="text1"/>
        </w:rPr>
        <w:t>Two technical Experts - with minimum a master’s degree in economics, rural development, energy, engineering business administration or social science or anothe</w:t>
      </w:r>
      <w:r>
        <w:rPr>
          <w:rFonts w:ascii="Inter" w:hAnsi="Inter"/>
          <w:color w:val="000000" w:themeColor="text1"/>
        </w:rPr>
        <w:t>r relevant related fields and at least 3 years relevant experience in designing and executing a rural household survey/feasibility study for impact assessment, etc. in Ethiopia.</w:t>
      </w:r>
    </w:p>
    <w:p w:rsidR="00FB0435" w:rsidRDefault="005E3B8B">
      <w:pPr>
        <w:pStyle w:val="ListParagraph"/>
        <w:numPr>
          <w:ilvl w:val="0"/>
          <w:numId w:val="9"/>
        </w:numPr>
        <w:tabs>
          <w:tab w:val="left" w:pos="720"/>
          <w:tab w:val="left" w:pos="794"/>
          <w:tab w:val="left" w:pos="1588"/>
          <w:tab w:val="left" w:pos="2381"/>
          <w:tab w:val="left" w:pos="3175"/>
          <w:tab w:val="left" w:pos="3969"/>
          <w:tab w:val="left" w:pos="4763"/>
          <w:tab w:val="left" w:pos="5557"/>
          <w:tab w:val="left" w:pos="6350"/>
          <w:tab w:val="left" w:pos="7144"/>
        </w:tabs>
        <w:autoSpaceDE w:val="0"/>
        <w:autoSpaceDN w:val="0"/>
        <w:adjustRightInd w:val="0"/>
        <w:spacing w:after="60"/>
        <w:rPr>
          <w:rFonts w:ascii="Inter" w:hAnsi="Inter"/>
          <w:b/>
          <w:color w:val="000000" w:themeColor="text1"/>
        </w:rPr>
      </w:pPr>
      <w:r>
        <w:rPr>
          <w:rFonts w:ascii="Inter" w:hAnsi="Inter"/>
          <w:color w:val="000000" w:themeColor="text1"/>
        </w:rPr>
        <w:t xml:space="preserve">The team composition is expected to be with a mix of professionals from rural </w:t>
      </w:r>
      <w:r>
        <w:rPr>
          <w:rFonts w:ascii="Inter" w:hAnsi="Inter"/>
          <w:color w:val="000000" w:themeColor="text1"/>
        </w:rPr>
        <w:t>technology, waste energy, socio-economic perspectives, and statistical aspects disciplines.</w:t>
      </w:r>
    </w:p>
    <w:p w:rsidR="00FB0435" w:rsidRDefault="005E3B8B">
      <w:pPr>
        <w:spacing w:after="60"/>
        <w:rPr>
          <w:rFonts w:ascii="Inter" w:hAnsi="Inter"/>
          <w:color w:val="000000" w:themeColor="text1"/>
          <w:u w:val="single"/>
        </w:rPr>
      </w:pPr>
      <w:r>
        <w:rPr>
          <w:rFonts w:ascii="Inter" w:hAnsi="Inter"/>
          <w:color w:val="000000" w:themeColor="text1"/>
        </w:rPr>
        <w:t xml:space="preserve">The consultant will include an appropriate number of field enumerators with a mix of male and female who are experienced in data collection, like KIIs and FGDs.  </w:t>
      </w:r>
      <w:proofErr w:type="gramStart"/>
      <w:r>
        <w:rPr>
          <w:rFonts w:ascii="Inter" w:hAnsi="Inter"/>
          <w:color w:val="000000" w:themeColor="text1"/>
        </w:rPr>
        <w:t>te</w:t>
      </w:r>
      <w:r>
        <w:rPr>
          <w:rFonts w:ascii="Inter" w:hAnsi="Inter"/>
          <w:color w:val="000000" w:themeColor="text1"/>
        </w:rPr>
        <w:t>am</w:t>
      </w:r>
      <w:proofErr w:type="gramEnd"/>
      <w:r>
        <w:rPr>
          <w:rFonts w:ascii="Inter" w:hAnsi="Inter"/>
          <w:color w:val="000000" w:themeColor="text1"/>
        </w:rPr>
        <w:t xml:space="preserve"> leaders </w:t>
      </w:r>
      <w:r>
        <w:rPr>
          <w:rFonts w:ascii="Inter" w:hAnsi="Inter"/>
          <w:color w:val="000000" w:themeColor="text1"/>
          <w:u w:val="single"/>
        </w:rPr>
        <w:t xml:space="preserve">For this, following are must criteria: </w:t>
      </w:r>
    </w:p>
    <w:p w:rsidR="00FB0435" w:rsidRDefault="005E3B8B">
      <w:pPr>
        <w:pStyle w:val="ListParagraph"/>
        <w:numPr>
          <w:ilvl w:val="0"/>
          <w:numId w:val="10"/>
        </w:numPr>
        <w:spacing w:after="60"/>
        <w:rPr>
          <w:rFonts w:ascii="Inter" w:hAnsi="Inter"/>
          <w:color w:val="000000" w:themeColor="text1"/>
        </w:rPr>
      </w:pPr>
      <w:r>
        <w:rPr>
          <w:rFonts w:ascii="Inter" w:hAnsi="Inter"/>
          <w:color w:val="000000" w:themeColor="text1"/>
        </w:rPr>
        <w:lastRenderedPageBreak/>
        <w:t>They must travel in a team of one female and male, so that they help each other to address gender perspectives, to ensure the feasibility study quality is maintained and gender issues addressed</w:t>
      </w:r>
    </w:p>
    <w:p w:rsidR="00FB0435" w:rsidRDefault="005E3B8B">
      <w:pPr>
        <w:pStyle w:val="ListParagraph"/>
        <w:numPr>
          <w:ilvl w:val="0"/>
          <w:numId w:val="10"/>
        </w:numPr>
        <w:spacing w:after="60"/>
        <w:rPr>
          <w:rFonts w:ascii="Inter" w:hAnsi="Inter"/>
          <w:color w:val="000000" w:themeColor="text1"/>
        </w:rPr>
      </w:pPr>
      <w:r>
        <w:rPr>
          <w:rFonts w:ascii="Inter" w:hAnsi="Inter"/>
          <w:color w:val="000000" w:themeColor="text1"/>
        </w:rPr>
        <w:t xml:space="preserve">At least one of the two in a field team, must be fluent in the language of the region the team will be working in; and </w:t>
      </w:r>
    </w:p>
    <w:p w:rsidR="00FB0435" w:rsidRDefault="005E3B8B">
      <w:pPr>
        <w:pStyle w:val="ListParagraph"/>
        <w:numPr>
          <w:ilvl w:val="0"/>
          <w:numId w:val="10"/>
        </w:numPr>
        <w:spacing w:after="60"/>
        <w:rPr>
          <w:rFonts w:ascii="Inter" w:hAnsi="Inter"/>
          <w:color w:val="000000" w:themeColor="text1"/>
        </w:rPr>
      </w:pPr>
      <w:r>
        <w:rPr>
          <w:rFonts w:ascii="Inter" w:hAnsi="Inter"/>
          <w:color w:val="000000" w:themeColor="text1"/>
        </w:rPr>
        <w:t xml:space="preserve">In each region to maintain the quality of the data the consulting firm should assign regional field coordinator. The </w:t>
      </w:r>
    </w:p>
    <w:p w:rsidR="00FB0435" w:rsidRDefault="005E3B8B">
      <w:pPr>
        <w:spacing w:after="60"/>
        <w:rPr>
          <w:rFonts w:ascii="Inter" w:hAnsi="Inter"/>
          <w:color w:val="000000" w:themeColor="text1"/>
        </w:rPr>
      </w:pPr>
      <w:r>
        <w:rPr>
          <w:rFonts w:ascii="Inter" w:hAnsi="Inter"/>
          <w:color w:val="000000" w:themeColor="text1"/>
        </w:rPr>
        <w:t xml:space="preserve">The preferred and </w:t>
      </w:r>
      <w:r>
        <w:rPr>
          <w:rFonts w:ascii="Inter" w:hAnsi="Inter"/>
          <w:color w:val="000000" w:themeColor="text1"/>
        </w:rPr>
        <w:t xml:space="preserve">relevant experience of the numerators (working as field team leader in similar assignments) will be an advantage. Except the data collection in the field and data entry in the data collection platform, the rest of the work shall be carried out by the core </w:t>
      </w:r>
      <w:r>
        <w:rPr>
          <w:rFonts w:ascii="Inter" w:hAnsi="Inter"/>
          <w:color w:val="000000" w:themeColor="text1"/>
        </w:rPr>
        <w:t xml:space="preserve">team. </w:t>
      </w:r>
    </w:p>
    <w:p w:rsidR="00FB0435" w:rsidRDefault="005E3B8B">
      <w:pPr>
        <w:pStyle w:val="CommentText"/>
        <w:spacing w:after="60"/>
        <w:rPr>
          <w:rFonts w:ascii="Inter" w:hAnsi="Inter"/>
          <w:color w:val="000000" w:themeColor="text1"/>
          <w:sz w:val="24"/>
          <w:szCs w:val="24"/>
        </w:rPr>
      </w:pPr>
      <w:r>
        <w:rPr>
          <w:rFonts w:ascii="Inter" w:hAnsi="Inter"/>
          <w:color w:val="000000" w:themeColor="text1"/>
          <w:sz w:val="24"/>
          <w:szCs w:val="24"/>
        </w:rPr>
        <w:t xml:space="preserve">CVs of the team members, including those of the enumerators, must be submitted in the proposal. Any replacement must be done through a prior written approval of </w:t>
      </w:r>
      <w:proofErr w:type="spellStart"/>
      <w:r>
        <w:rPr>
          <w:rFonts w:ascii="Inter" w:hAnsi="Inter"/>
          <w:color w:val="000000" w:themeColor="text1"/>
          <w:sz w:val="24"/>
          <w:szCs w:val="24"/>
        </w:rPr>
        <w:t>MoWE</w:t>
      </w:r>
      <w:proofErr w:type="spellEnd"/>
      <w:r>
        <w:rPr>
          <w:rFonts w:ascii="Inter" w:hAnsi="Inter"/>
          <w:color w:val="000000" w:themeColor="text1"/>
          <w:sz w:val="24"/>
          <w:szCs w:val="24"/>
        </w:rPr>
        <w:t xml:space="preserve">. </w:t>
      </w:r>
    </w:p>
    <w:p w:rsidR="00FB0435" w:rsidRDefault="005E3B8B">
      <w:pPr>
        <w:pStyle w:val="Heading1"/>
        <w:spacing w:before="160" w:line="276" w:lineRule="auto"/>
        <w:rPr>
          <w:rFonts w:ascii="Inter" w:hAnsi="Inter"/>
          <w:color w:val="002060"/>
          <w:sz w:val="24"/>
          <w:szCs w:val="24"/>
        </w:rPr>
      </w:pPr>
      <w:bookmarkStart w:id="28" w:name="_Toc231616970"/>
      <w:r>
        <w:rPr>
          <w:rFonts w:ascii="Inter" w:hAnsi="Inter"/>
          <w:color w:val="002060"/>
          <w:sz w:val="24"/>
          <w:szCs w:val="24"/>
        </w:rPr>
        <w:t>10 EALUATION OF PROPOSALS</w:t>
      </w:r>
      <w:bookmarkEnd w:id="28"/>
    </w:p>
    <w:p w:rsidR="00FB0435" w:rsidRDefault="005E3B8B">
      <w:pPr>
        <w:pStyle w:val="NormalWeb"/>
        <w:spacing w:before="160" w:beforeAutospacing="0" w:after="160" w:afterAutospacing="0" w:line="276" w:lineRule="auto"/>
        <w:jc w:val="both"/>
        <w:rPr>
          <w:rFonts w:ascii="Inter" w:hAnsi="Inter"/>
          <w:color w:val="000000"/>
        </w:rPr>
      </w:pPr>
      <w:r>
        <w:rPr>
          <w:rFonts w:ascii="Inter" w:hAnsi="Inter"/>
          <w:color w:val="000000"/>
        </w:rPr>
        <w:t xml:space="preserve">Proposals shall be evaluated using a Quality and </w:t>
      </w:r>
      <w:r>
        <w:rPr>
          <w:rFonts w:ascii="Inter" w:hAnsi="Inter"/>
          <w:color w:val="000000"/>
        </w:rPr>
        <w:t>Cost-Based Selection (QCBS) method. Technical proposals will account for 80 percent of the total score, assessing experience, methodology, key personnel, and implementation plan. Financial proposals will account for 20 percent and will be evaluated based o</w:t>
      </w:r>
      <w:r>
        <w:rPr>
          <w:rFonts w:ascii="Inter" w:hAnsi="Inter"/>
          <w:color w:val="000000"/>
        </w:rPr>
        <w:t>n competitiveness and cost realism. Only firms achieving a minimum technical threshold of 75 percent shall proceed to financial evaluation.</w:t>
      </w:r>
    </w:p>
    <w:p w:rsidR="00FB0435" w:rsidRDefault="005E3B8B">
      <w:pPr>
        <w:pStyle w:val="Heading1"/>
        <w:spacing w:before="160" w:line="276" w:lineRule="auto"/>
        <w:rPr>
          <w:rFonts w:ascii="Inter" w:hAnsi="Inter"/>
          <w:color w:val="002060"/>
          <w:sz w:val="24"/>
          <w:szCs w:val="24"/>
        </w:rPr>
      </w:pPr>
      <w:bookmarkStart w:id="29" w:name="_Toc231616971"/>
      <w:r>
        <w:rPr>
          <w:rFonts w:ascii="Inter" w:hAnsi="Inter"/>
          <w:color w:val="002060"/>
          <w:sz w:val="24"/>
          <w:szCs w:val="24"/>
        </w:rPr>
        <w:t>11.  PAYMENT TERMS</w:t>
      </w:r>
      <w:bookmarkEnd w:id="29"/>
    </w:p>
    <w:p w:rsidR="00FB0435" w:rsidRDefault="005E3B8B">
      <w:pPr>
        <w:pStyle w:val="NormalWeb"/>
        <w:spacing w:before="160" w:beforeAutospacing="0" w:after="160" w:afterAutospacing="0" w:line="276" w:lineRule="auto"/>
        <w:jc w:val="both"/>
        <w:rPr>
          <w:rFonts w:ascii="Inter" w:hAnsi="Inter"/>
          <w:color w:val="000000"/>
        </w:rPr>
      </w:pPr>
      <w:r>
        <w:rPr>
          <w:rFonts w:ascii="Inter" w:hAnsi="Inter"/>
          <w:color w:val="000000"/>
        </w:rPr>
        <w:t>Payments shall be made based on key milestones to ensure performance-based delivery. An initial p</w:t>
      </w:r>
      <w:r>
        <w:rPr>
          <w:rFonts w:ascii="Inter" w:hAnsi="Inter"/>
          <w:color w:val="000000"/>
        </w:rPr>
        <w:t>ayment shall be made upon contract signing, followed by installments linked to approval of the inception report</w:t>
      </w:r>
      <w:proofErr w:type="gramStart"/>
      <w:r>
        <w:rPr>
          <w:rFonts w:ascii="Inter" w:hAnsi="Inter"/>
          <w:color w:val="000000"/>
        </w:rPr>
        <w:t>,  submission</w:t>
      </w:r>
      <w:proofErr w:type="gramEnd"/>
      <w:r>
        <w:rPr>
          <w:rFonts w:ascii="Inter" w:hAnsi="Inter"/>
          <w:color w:val="000000"/>
        </w:rPr>
        <w:t xml:space="preserve"> of the field report, submission of draft reports, and delivery of final outputs including datasets and validated reports. A final r</w:t>
      </w:r>
      <w:r>
        <w:rPr>
          <w:rFonts w:ascii="Inter" w:hAnsi="Inter"/>
          <w:color w:val="000000"/>
        </w:rPr>
        <w:t>etention payment shall be released upon full approval of all deliverables.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35"/>
        <w:gridCol w:w="5400"/>
      </w:tblGrid>
      <w:tr w:rsidR="00FB0435">
        <w:tc>
          <w:tcPr>
            <w:tcW w:w="610" w:type="dxa"/>
            <w:shd w:val="clear" w:color="auto" w:fill="D9D9D9"/>
          </w:tcPr>
          <w:p w:rsidR="00FB0435" w:rsidRDefault="005E3B8B">
            <w:pPr>
              <w:spacing w:after="0" w:line="360" w:lineRule="auto"/>
              <w:rPr>
                <w:rFonts w:ascii="Inter" w:eastAsia="Calibri" w:hAnsi="Inter"/>
                <w:b/>
              </w:rPr>
            </w:pPr>
            <w:r>
              <w:rPr>
                <w:rFonts w:ascii="Inter" w:eastAsia="Calibri" w:hAnsi="Inter"/>
                <w:b/>
              </w:rPr>
              <w:t>No.</w:t>
            </w:r>
          </w:p>
        </w:tc>
        <w:tc>
          <w:tcPr>
            <w:tcW w:w="3435" w:type="dxa"/>
            <w:shd w:val="clear" w:color="auto" w:fill="D9D9D9"/>
          </w:tcPr>
          <w:p w:rsidR="00FB0435" w:rsidRDefault="005E3B8B">
            <w:pPr>
              <w:spacing w:after="0" w:line="360" w:lineRule="auto"/>
              <w:rPr>
                <w:rFonts w:ascii="Inter" w:eastAsia="Calibri" w:hAnsi="Inter"/>
                <w:b/>
              </w:rPr>
            </w:pPr>
            <w:r>
              <w:rPr>
                <w:rFonts w:ascii="Inter" w:eastAsia="Calibri" w:hAnsi="Inter"/>
                <w:b/>
              </w:rPr>
              <w:t>Deliverables / Outputs</w:t>
            </w:r>
          </w:p>
        </w:tc>
        <w:tc>
          <w:tcPr>
            <w:tcW w:w="5400" w:type="dxa"/>
            <w:shd w:val="clear" w:color="auto" w:fill="D9D9D9"/>
          </w:tcPr>
          <w:p w:rsidR="00FB0435" w:rsidRDefault="005E3B8B">
            <w:pPr>
              <w:spacing w:after="0" w:line="360" w:lineRule="auto"/>
              <w:rPr>
                <w:rFonts w:ascii="Inter" w:eastAsia="Calibri" w:hAnsi="Inter"/>
                <w:b/>
              </w:rPr>
            </w:pPr>
            <w:r>
              <w:rPr>
                <w:rFonts w:ascii="Inter" w:eastAsia="Calibri" w:hAnsi="Inter"/>
                <w:b/>
              </w:rPr>
              <w:t xml:space="preserve">Proportion of payment </w:t>
            </w:r>
          </w:p>
        </w:tc>
      </w:tr>
      <w:tr w:rsidR="00FB0435">
        <w:trPr>
          <w:trHeight w:val="278"/>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1</w:t>
            </w:r>
          </w:p>
        </w:tc>
        <w:tc>
          <w:tcPr>
            <w:tcW w:w="3435"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 xml:space="preserve">Inception Report </w:t>
            </w:r>
          </w:p>
        </w:tc>
        <w:tc>
          <w:tcPr>
            <w:tcW w:w="5400" w:type="dxa"/>
            <w:shd w:val="clear" w:color="auto" w:fill="FFFFFF"/>
          </w:tcPr>
          <w:p w:rsidR="00FB0435" w:rsidRDefault="005E3B8B">
            <w:pPr>
              <w:spacing w:after="0" w:line="360" w:lineRule="auto"/>
              <w:rPr>
                <w:rFonts w:ascii="Inter" w:eastAsia="Calibri" w:hAnsi="Inter"/>
              </w:rPr>
            </w:pPr>
            <w:r>
              <w:rPr>
                <w:rFonts w:ascii="Inter" w:eastAsia="Calibri" w:hAnsi="Inter"/>
              </w:rPr>
              <w:t xml:space="preserve">30 %  why 30% </w:t>
            </w:r>
            <w:proofErr w:type="spellStart"/>
            <w:r>
              <w:rPr>
                <w:rFonts w:ascii="Inter" w:eastAsia="Calibri" w:hAnsi="Inter"/>
              </w:rPr>
              <w:t>bc</w:t>
            </w:r>
            <w:proofErr w:type="spellEnd"/>
            <w:r>
              <w:rPr>
                <w:rFonts w:ascii="Inter" w:eastAsia="Calibri" w:hAnsi="Inter"/>
              </w:rPr>
              <w:t xml:space="preserve"> we deploy large team and cost of fuel is escalating  and demands investment </w:t>
            </w:r>
          </w:p>
        </w:tc>
      </w:tr>
      <w:tr w:rsidR="00FB0435">
        <w:trPr>
          <w:trHeight w:val="269"/>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2</w:t>
            </w:r>
          </w:p>
        </w:tc>
        <w:tc>
          <w:tcPr>
            <w:tcW w:w="3435"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Submission of</w:t>
            </w:r>
            <w:r>
              <w:rPr>
                <w:rFonts w:ascii="Inter" w:eastAsia="Calibri" w:hAnsi="Inter"/>
                <w:b/>
                <w:bCs/>
              </w:rPr>
              <w:t xml:space="preserve"> the field Report</w:t>
            </w:r>
          </w:p>
        </w:tc>
        <w:tc>
          <w:tcPr>
            <w:tcW w:w="5400" w:type="dxa"/>
            <w:shd w:val="clear" w:color="auto" w:fill="FFFFFF"/>
          </w:tcPr>
          <w:p w:rsidR="00FB0435" w:rsidRDefault="005E3B8B">
            <w:pPr>
              <w:spacing w:after="0" w:line="360" w:lineRule="auto"/>
              <w:rPr>
                <w:rFonts w:ascii="Inter" w:eastAsia="Calibri" w:hAnsi="Inter"/>
              </w:rPr>
            </w:pPr>
            <w:r>
              <w:rPr>
                <w:rFonts w:ascii="Inter" w:eastAsia="Calibri" w:hAnsi="Inter"/>
              </w:rPr>
              <w:t>20%</w:t>
            </w:r>
          </w:p>
        </w:tc>
      </w:tr>
      <w:tr w:rsidR="00FB0435">
        <w:trPr>
          <w:trHeight w:val="269"/>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3</w:t>
            </w:r>
          </w:p>
        </w:tc>
        <w:tc>
          <w:tcPr>
            <w:tcW w:w="3435"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Draft Report</w:t>
            </w:r>
          </w:p>
        </w:tc>
        <w:tc>
          <w:tcPr>
            <w:tcW w:w="5400" w:type="dxa"/>
            <w:shd w:val="clear" w:color="auto" w:fill="FFFFFF"/>
          </w:tcPr>
          <w:p w:rsidR="00FB0435" w:rsidRDefault="005E3B8B">
            <w:pPr>
              <w:spacing w:after="0" w:line="360" w:lineRule="auto"/>
              <w:rPr>
                <w:rFonts w:ascii="Inter" w:eastAsia="Calibri" w:hAnsi="Inter"/>
              </w:rPr>
            </w:pPr>
            <w:r>
              <w:rPr>
                <w:rFonts w:ascii="Inter" w:eastAsia="Calibri" w:hAnsi="Inter"/>
              </w:rPr>
              <w:t>30 %</w:t>
            </w:r>
          </w:p>
        </w:tc>
      </w:tr>
      <w:tr w:rsidR="00FB0435">
        <w:trPr>
          <w:trHeight w:val="332"/>
        </w:trPr>
        <w:tc>
          <w:tcPr>
            <w:tcW w:w="610" w:type="dxa"/>
            <w:shd w:val="clear" w:color="auto" w:fill="FFFFFF"/>
          </w:tcPr>
          <w:p w:rsidR="00FB0435" w:rsidRDefault="005E3B8B">
            <w:pPr>
              <w:autoSpaceDE w:val="0"/>
              <w:autoSpaceDN w:val="0"/>
              <w:spacing w:after="0" w:line="360" w:lineRule="auto"/>
              <w:rPr>
                <w:rFonts w:ascii="Inter" w:eastAsia="Calibri" w:hAnsi="Inter"/>
              </w:rPr>
            </w:pPr>
            <w:r>
              <w:rPr>
                <w:rFonts w:ascii="Inter" w:eastAsia="Calibri" w:hAnsi="Inter"/>
              </w:rPr>
              <w:t>4</w:t>
            </w:r>
          </w:p>
        </w:tc>
        <w:tc>
          <w:tcPr>
            <w:tcW w:w="3435" w:type="dxa"/>
            <w:shd w:val="clear" w:color="auto" w:fill="FFFFFF"/>
          </w:tcPr>
          <w:p w:rsidR="00FB0435" w:rsidRDefault="005E3B8B">
            <w:pPr>
              <w:autoSpaceDE w:val="0"/>
              <w:autoSpaceDN w:val="0"/>
              <w:spacing w:after="0" w:line="360" w:lineRule="auto"/>
              <w:rPr>
                <w:rFonts w:ascii="Inter" w:eastAsia="Calibri" w:hAnsi="Inter"/>
                <w:b/>
                <w:bCs/>
              </w:rPr>
            </w:pPr>
            <w:r>
              <w:rPr>
                <w:rFonts w:ascii="Inter" w:eastAsia="Calibri" w:hAnsi="Inter"/>
                <w:b/>
                <w:bCs/>
              </w:rPr>
              <w:t>Final Report</w:t>
            </w:r>
          </w:p>
        </w:tc>
        <w:tc>
          <w:tcPr>
            <w:tcW w:w="5400" w:type="dxa"/>
            <w:shd w:val="clear" w:color="auto" w:fill="FFFFFF"/>
          </w:tcPr>
          <w:p w:rsidR="00FB0435" w:rsidRDefault="005E3B8B">
            <w:pPr>
              <w:spacing w:after="0" w:line="360" w:lineRule="auto"/>
              <w:rPr>
                <w:rFonts w:ascii="Inter" w:eastAsia="Calibri" w:hAnsi="Inter"/>
              </w:rPr>
            </w:pPr>
            <w:r>
              <w:rPr>
                <w:rFonts w:ascii="Inter" w:eastAsia="Calibri" w:hAnsi="Inter"/>
              </w:rPr>
              <w:t>20 %</w:t>
            </w:r>
          </w:p>
        </w:tc>
      </w:tr>
    </w:tbl>
    <w:p w:rsidR="00FB0435" w:rsidRDefault="005E3B8B">
      <w:pPr>
        <w:pStyle w:val="Heading1"/>
        <w:spacing w:before="160" w:line="276" w:lineRule="auto"/>
        <w:rPr>
          <w:rFonts w:ascii="Inter" w:hAnsi="Inter"/>
          <w:color w:val="002060"/>
          <w:sz w:val="24"/>
          <w:szCs w:val="24"/>
        </w:rPr>
      </w:pPr>
      <w:bookmarkStart w:id="30" w:name="_Toc231616972"/>
      <w:r>
        <w:rPr>
          <w:rFonts w:ascii="Inter" w:hAnsi="Inter"/>
          <w:color w:val="002060"/>
          <w:sz w:val="24"/>
          <w:szCs w:val="24"/>
        </w:rPr>
        <w:t>12. Lists of stakeholders</w:t>
      </w:r>
      <w:bookmarkEnd w:id="30"/>
      <w:r>
        <w:rPr>
          <w:rFonts w:ascii="Inter" w:hAnsi="Inter"/>
          <w:color w:val="002060"/>
          <w:sz w:val="24"/>
          <w:szCs w:val="24"/>
        </w:rPr>
        <w:t xml:space="preserve"> </w:t>
      </w:r>
    </w:p>
    <w:p w:rsidR="00FB0435" w:rsidRDefault="005E3B8B">
      <w:pPr>
        <w:pStyle w:val="Heading1"/>
        <w:spacing w:before="160" w:line="276" w:lineRule="auto"/>
        <w:rPr>
          <w:rFonts w:ascii="Inter" w:hAnsi="Inter"/>
          <w:color w:val="002060"/>
          <w:sz w:val="24"/>
          <w:szCs w:val="24"/>
        </w:rPr>
      </w:pPr>
      <w:r>
        <w:rPr>
          <w:rFonts w:ascii="Inter" w:hAnsi="Inter"/>
          <w:color w:val="002060"/>
          <w:sz w:val="24"/>
          <w:szCs w:val="24"/>
        </w:rPr>
        <w:t>This institution are expected to be meet by the consultant for KIIP and FGD</w:t>
      </w:r>
    </w:p>
    <w:p w:rsidR="00FB0435" w:rsidRDefault="005E3B8B">
      <w:pPr>
        <w:rPr>
          <w:rFonts w:ascii="Inter" w:hAnsi="Inter"/>
          <w:color w:val="000000" w:themeColor="text1"/>
        </w:rPr>
      </w:pPr>
      <w:r>
        <w:rPr>
          <w:rFonts w:ascii="Inter" w:hAnsi="Inter"/>
          <w:color w:val="000000" w:themeColor="text1"/>
        </w:rPr>
        <w:lastRenderedPageBreak/>
        <w:t xml:space="preserve">Federal institutions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Ministry of water and Energy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Ministry of Agriculture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Ministry of</w:t>
      </w:r>
      <w:r>
        <w:rPr>
          <w:rFonts w:ascii="Inter" w:hAnsi="Inter"/>
          <w:color w:val="000000" w:themeColor="text1"/>
        </w:rPr>
        <w:t xml:space="preserve"> Livestock Development</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Ministry of labor and skills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Ministry of health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Ministry of Education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Ministry of women and children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Ministry of Finance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Environmental authority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Ethiopia statistical Service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Development Bank of Ethiopia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3 selected commercial </w:t>
      </w:r>
      <w:r>
        <w:rPr>
          <w:rFonts w:ascii="Inter" w:hAnsi="Inter"/>
          <w:color w:val="000000" w:themeColor="text1"/>
        </w:rPr>
        <w:t>Banks</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Federal prison commission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SNV Ethiopia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GIZ</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Agricultural transformation Institute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World Bank </w:t>
      </w:r>
    </w:p>
    <w:p w:rsidR="00FB0435" w:rsidRDefault="005E3B8B">
      <w:pPr>
        <w:rPr>
          <w:rFonts w:ascii="Inter" w:hAnsi="Inter"/>
          <w:b/>
          <w:bCs/>
          <w:color w:val="000000" w:themeColor="text1"/>
        </w:rPr>
      </w:pPr>
      <w:r>
        <w:rPr>
          <w:rFonts w:ascii="Inter" w:hAnsi="Inter"/>
          <w:b/>
          <w:bCs/>
          <w:color w:val="000000" w:themeColor="text1"/>
        </w:rPr>
        <w:t xml:space="preserve">Regional Institutions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Bureau of Water and Energy or related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Bureau of Finance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Bureau of agriculture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Bureau of women and children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Bureau of Labor and skills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3 selected microfinance institutions </w:t>
      </w:r>
    </w:p>
    <w:p w:rsidR="00FB0435" w:rsidRDefault="005E3B8B">
      <w:pPr>
        <w:pStyle w:val="ListParagraph"/>
        <w:numPr>
          <w:ilvl w:val="0"/>
          <w:numId w:val="11"/>
        </w:numPr>
        <w:rPr>
          <w:rFonts w:ascii="Inter" w:hAnsi="Inter"/>
          <w:color w:val="000000" w:themeColor="text1"/>
        </w:rPr>
      </w:pPr>
      <w:r>
        <w:rPr>
          <w:rFonts w:ascii="Inter" w:hAnsi="Inter"/>
          <w:color w:val="000000" w:themeColor="text1"/>
        </w:rPr>
        <w:t xml:space="preserve">Biogas Construction enterprises </w:t>
      </w:r>
    </w:p>
    <w:p w:rsidR="00FB0435" w:rsidRDefault="00FB0435">
      <w:pPr>
        <w:pStyle w:val="ListParagraph"/>
        <w:numPr>
          <w:ilvl w:val="0"/>
          <w:numId w:val="11"/>
        </w:numPr>
        <w:rPr>
          <w:rFonts w:ascii="Inter" w:hAnsi="Inter"/>
          <w:color w:val="000000" w:themeColor="text1"/>
        </w:rPr>
      </w:pPr>
    </w:p>
    <w:p w:rsidR="00FB0435" w:rsidRDefault="00FB0435">
      <w:pPr>
        <w:rPr>
          <w:rFonts w:ascii="Inter" w:hAnsi="Inter"/>
        </w:rPr>
      </w:pPr>
    </w:p>
    <w:sectPr w:rsidR="00FB0435">
      <w:footerReference w:type="default" r:id="rId9"/>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8B" w:rsidRDefault="005E3B8B">
      <w:pPr>
        <w:spacing w:line="240" w:lineRule="auto"/>
      </w:pPr>
      <w:r>
        <w:separator/>
      </w:r>
    </w:p>
  </w:endnote>
  <w:endnote w:type="continuationSeparator" w:id="0">
    <w:p w:rsidR="005E3B8B" w:rsidRDefault="005E3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imes New Roman"/>
        <w:color w:val="auto"/>
        <w:sz w:val="22"/>
        <w:szCs w:val="22"/>
      </w:rPr>
      <w:id w:val="-1881548979"/>
      <w:docPartObj>
        <w:docPartGallery w:val="AutoText"/>
      </w:docPartObj>
    </w:sdtPr>
    <w:sdtEndPr>
      <w:rPr>
        <w:rFonts w:asciiTheme="majorHAnsi" w:eastAsiaTheme="majorEastAsia" w:hAnsiTheme="majorHAnsi" w:cstheme="majorBidi"/>
        <w:color w:val="4F81BD" w:themeColor="accent1"/>
        <w:sz w:val="40"/>
        <w:szCs w:val="40"/>
      </w:rPr>
    </w:sdtEndPr>
    <w:sdtContent>
      <w:p w:rsidR="00FB0435" w:rsidRDefault="005E3B8B">
        <w:pPr>
          <w:pStyle w:val="Footer"/>
          <w:jc w:val="right"/>
          <w:rPr>
            <w:rFonts w:asciiTheme="majorHAnsi" w:eastAsiaTheme="majorEastAsia" w:hAnsiTheme="majorHAnsi" w:cstheme="majorBidi"/>
            <w:color w:val="4F81BD" w:themeColor="accent1"/>
            <w:sz w:val="40"/>
            <w:szCs w:val="40"/>
          </w:rPr>
        </w:pPr>
        <w:r>
          <w:rPr>
            <w:rFonts w:asciiTheme="minorHAnsi" w:eastAsiaTheme="minorEastAsia" w:hAnsiTheme="minorHAnsi" w:cs="Times New Roman"/>
            <w:color w:val="auto"/>
            <w:sz w:val="22"/>
            <w:szCs w:val="22"/>
          </w:rPr>
          <w:fldChar w:fldCharType="begin"/>
        </w:r>
        <w:r>
          <w:instrText xml:space="preserve"> PAGE   \* MERGEFORMAT </w:instrText>
        </w:r>
        <w:r>
          <w:rPr>
            <w:rFonts w:asciiTheme="minorHAnsi" w:eastAsiaTheme="minorEastAsia" w:hAnsiTheme="minorHAnsi" w:cs="Times New Roman"/>
            <w:color w:val="auto"/>
            <w:sz w:val="22"/>
            <w:szCs w:val="22"/>
          </w:rPr>
          <w:fldChar w:fldCharType="separate"/>
        </w:r>
        <w:r w:rsidR="00047C01" w:rsidRPr="00047C01">
          <w:rPr>
            <w:rFonts w:asciiTheme="majorHAnsi" w:eastAsiaTheme="majorEastAsia" w:hAnsiTheme="majorHAnsi" w:cstheme="majorBidi"/>
            <w:noProof/>
            <w:color w:val="4F81BD" w:themeColor="accent1"/>
            <w:sz w:val="40"/>
            <w:szCs w:val="40"/>
          </w:rPr>
          <w:t>14</w:t>
        </w:r>
        <w:r>
          <w:rPr>
            <w:rFonts w:asciiTheme="majorHAnsi" w:eastAsiaTheme="majorEastAsia" w:hAnsiTheme="majorHAnsi" w:cstheme="majorBidi"/>
            <w:color w:val="4F81BD" w:themeColor="accent1"/>
            <w:sz w:val="40"/>
            <w:szCs w:val="40"/>
          </w:rPr>
          <w:fldChar w:fldCharType="end"/>
        </w:r>
      </w:p>
    </w:sdtContent>
  </w:sdt>
  <w:p w:rsidR="00FB0435" w:rsidRDefault="00FB0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8B" w:rsidRDefault="005E3B8B">
      <w:pPr>
        <w:spacing w:after="0"/>
      </w:pPr>
      <w:r>
        <w:separator/>
      </w:r>
    </w:p>
  </w:footnote>
  <w:footnote w:type="continuationSeparator" w:id="0">
    <w:p w:rsidR="005E3B8B" w:rsidRDefault="005E3B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C3786"/>
    <w:multiLevelType w:val="multilevel"/>
    <w:tmpl w:val="257C3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761070"/>
    <w:multiLevelType w:val="multilevel"/>
    <w:tmpl w:val="2B76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4CB0EC1"/>
    <w:multiLevelType w:val="multilevel"/>
    <w:tmpl w:val="34CB0EC1"/>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3">
    <w:nsid w:val="3A2C62C8"/>
    <w:multiLevelType w:val="multilevel"/>
    <w:tmpl w:val="3A2C6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C3B660A"/>
    <w:multiLevelType w:val="multilevel"/>
    <w:tmpl w:val="3C3B660A"/>
    <w:lvl w:ilvl="0">
      <w:start w:val="1"/>
      <w:numFmt w:val="bullet"/>
      <w:lvlText w:val=""/>
      <w:lvlJc w:val="left"/>
      <w:pPr>
        <w:ind w:left="587" w:hanging="360"/>
      </w:pPr>
      <w:rPr>
        <w:rFonts w:ascii="Symbol" w:hAnsi="Symbol" w:hint="default"/>
        <w:b w:val="0"/>
      </w:r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5">
    <w:nsid w:val="3F525AD1"/>
    <w:multiLevelType w:val="multilevel"/>
    <w:tmpl w:val="3F525A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FD55A06"/>
    <w:multiLevelType w:val="multilevel"/>
    <w:tmpl w:val="4FD55A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544E752A"/>
    <w:multiLevelType w:val="multilevel"/>
    <w:tmpl w:val="544E75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62DA1DD0"/>
    <w:multiLevelType w:val="multilevel"/>
    <w:tmpl w:val="62DA1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A8B86B2"/>
    <w:multiLevelType w:val="singleLevel"/>
    <w:tmpl w:val="6A8B86B2"/>
    <w:lvl w:ilvl="0">
      <w:start w:val="1"/>
      <w:numFmt w:val="decimal"/>
      <w:lvlText w:val="%1."/>
      <w:lvlJc w:val="left"/>
      <w:pPr>
        <w:tabs>
          <w:tab w:val="left" w:pos="425"/>
        </w:tabs>
        <w:ind w:left="425" w:hanging="425"/>
      </w:pPr>
      <w:rPr>
        <w:rFonts w:hint="default"/>
      </w:rPr>
    </w:lvl>
  </w:abstractNum>
  <w:abstractNum w:abstractNumId="10">
    <w:nsid w:val="72340464"/>
    <w:multiLevelType w:val="multilevel"/>
    <w:tmpl w:val="72340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5"/>
  </w:num>
  <w:num w:numId="5">
    <w:abstractNumId w:val="1"/>
  </w:num>
  <w:num w:numId="6">
    <w:abstractNumId w:val="6"/>
  </w:num>
  <w:num w:numId="7">
    <w:abstractNumId w:val="8"/>
  </w:num>
  <w:num w:numId="8">
    <w:abstractNumId w:val="10"/>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doNotLeaveBackslashAlon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3D"/>
    <w:rsid w:val="000204F1"/>
    <w:rsid w:val="00044B45"/>
    <w:rsid w:val="00047C01"/>
    <w:rsid w:val="000E552F"/>
    <w:rsid w:val="00113028"/>
    <w:rsid w:val="00117908"/>
    <w:rsid w:val="00162BE8"/>
    <w:rsid w:val="001748E1"/>
    <w:rsid w:val="00191D8F"/>
    <w:rsid w:val="001A2AD8"/>
    <w:rsid w:val="001A3189"/>
    <w:rsid w:val="001B4677"/>
    <w:rsid w:val="001B65B7"/>
    <w:rsid w:val="00221232"/>
    <w:rsid w:val="002714C9"/>
    <w:rsid w:val="00333FDD"/>
    <w:rsid w:val="00335494"/>
    <w:rsid w:val="00350137"/>
    <w:rsid w:val="00376DA4"/>
    <w:rsid w:val="00396440"/>
    <w:rsid w:val="003A7B9F"/>
    <w:rsid w:val="00406678"/>
    <w:rsid w:val="00434F0B"/>
    <w:rsid w:val="00443F1C"/>
    <w:rsid w:val="0049287E"/>
    <w:rsid w:val="004B53C4"/>
    <w:rsid w:val="004D3B1B"/>
    <w:rsid w:val="00502245"/>
    <w:rsid w:val="00504D08"/>
    <w:rsid w:val="00526268"/>
    <w:rsid w:val="00571034"/>
    <w:rsid w:val="005A7089"/>
    <w:rsid w:val="005D6613"/>
    <w:rsid w:val="005E3B8B"/>
    <w:rsid w:val="006742F9"/>
    <w:rsid w:val="0069794D"/>
    <w:rsid w:val="006A3567"/>
    <w:rsid w:val="007367C9"/>
    <w:rsid w:val="00737E3D"/>
    <w:rsid w:val="007F47A2"/>
    <w:rsid w:val="00804637"/>
    <w:rsid w:val="00815554"/>
    <w:rsid w:val="008276A2"/>
    <w:rsid w:val="00846A5B"/>
    <w:rsid w:val="00847344"/>
    <w:rsid w:val="0088538F"/>
    <w:rsid w:val="008E75E3"/>
    <w:rsid w:val="00954D5E"/>
    <w:rsid w:val="009E2C8B"/>
    <w:rsid w:val="009F5269"/>
    <w:rsid w:val="00A765FF"/>
    <w:rsid w:val="00A82846"/>
    <w:rsid w:val="00A96A0E"/>
    <w:rsid w:val="00AA55A8"/>
    <w:rsid w:val="00AB7418"/>
    <w:rsid w:val="00AC42D6"/>
    <w:rsid w:val="00AD4729"/>
    <w:rsid w:val="00AD4EE6"/>
    <w:rsid w:val="00B173A3"/>
    <w:rsid w:val="00B32E88"/>
    <w:rsid w:val="00B46E3C"/>
    <w:rsid w:val="00B53B99"/>
    <w:rsid w:val="00B56EB6"/>
    <w:rsid w:val="00B77F16"/>
    <w:rsid w:val="00B81F44"/>
    <w:rsid w:val="00BF33EE"/>
    <w:rsid w:val="00C425DD"/>
    <w:rsid w:val="00C61681"/>
    <w:rsid w:val="00C90512"/>
    <w:rsid w:val="00C97146"/>
    <w:rsid w:val="00CB6E98"/>
    <w:rsid w:val="00CC7B37"/>
    <w:rsid w:val="00CD21FE"/>
    <w:rsid w:val="00CE300D"/>
    <w:rsid w:val="00D019F8"/>
    <w:rsid w:val="00D0614C"/>
    <w:rsid w:val="00D07C65"/>
    <w:rsid w:val="00D17109"/>
    <w:rsid w:val="00D52E83"/>
    <w:rsid w:val="00D6139E"/>
    <w:rsid w:val="00D74206"/>
    <w:rsid w:val="00E50268"/>
    <w:rsid w:val="00E80C3C"/>
    <w:rsid w:val="00E92CF8"/>
    <w:rsid w:val="00EB5C94"/>
    <w:rsid w:val="00EC4E25"/>
    <w:rsid w:val="00EC798D"/>
    <w:rsid w:val="00EF00BD"/>
    <w:rsid w:val="00F30249"/>
    <w:rsid w:val="00F73F67"/>
    <w:rsid w:val="00F9098A"/>
    <w:rsid w:val="00F90AA0"/>
    <w:rsid w:val="00FB0435"/>
    <w:rsid w:val="00FB73CD"/>
    <w:rsid w:val="00FC0163"/>
    <w:rsid w:val="00FD4B36"/>
    <w:rsid w:val="00FF6849"/>
    <w:rsid w:val="09C63C16"/>
    <w:rsid w:val="0B6A76F0"/>
    <w:rsid w:val="178E1F33"/>
    <w:rsid w:val="1FF178D3"/>
    <w:rsid w:val="33A806D0"/>
    <w:rsid w:val="36127845"/>
    <w:rsid w:val="40A77BDC"/>
    <w:rsid w:val="4CEC50BE"/>
    <w:rsid w:val="4E982244"/>
    <w:rsid w:val="58782833"/>
    <w:rsid w:val="66B87515"/>
    <w:rsid w:val="6F9E36AB"/>
    <w:rsid w:val="7F61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rFonts w:ascii="Arial" w:eastAsia="Arial" w:hAnsi="Arial" w:cs="Arial"/>
      <w:color w:val="404040"/>
      <w:sz w:val="24"/>
      <w:szCs w:val="24"/>
    </w:rPr>
  </w:style>
  <w:style w:type="paragraph" w:styleId="Heading1">
    <w:name w:val="heading 1"/>
    <w:link w:val="Heading1Char"/>
    <w:qFormat/>
    <w:pPr>
      <w:spacing w:before="320" w:after="160"/>
      <w:jc w:val="both"/>
      <w:outlineLvl w:val="0"/>
    </w:pPr>
    <w:rPr>
      <w:rFonts w:ascii="Arial" w:eastAsia="Arial" w:hAnsi="Arial" w:cs="Arial"/>
      <w:b/>
      <w:bCs/>
      <w:color w:val="FFFFFF"/>
      <w:sz w:val="28"/>
      <w:szCs w:val="28"/>
    </w:rPr>
  </w:style>
  <w:style w:type="paragraph" w:styleId="Heading2">
    <w:name w:val="heading 2"/>
    <w:link w:val="Heading2Char"/>
    <w:qFormat/>
    <w:pPr>
      <w:spacing w:before="260" w:after="130"/>
      <w:jc w:val="both"/>
      <w:outlineLvl w:val="1"/>
    </w:pPr>
    <w:rPr>
      <w:rFonts w:ascii="Arial" w:eastAsia="Arial" w:hAnsi="Arial" w:cs="Arial"/>
      <w:b/>
      <w:bCs/>
      <w:color w:val="2E75B6"/>
      <w:sz w:val="26"/>
      <w:szCs w:val="26"/>
    </w:rPr>
  </w:style>
  <w:style w:type="paragraph" w:styleId="Heading3">
    <w:name w:val="heading 3"/>
    <w:link w:val="Heading3Char"/>
    <w:qFormat/>
    <w:pPr>
      <w:spacing w:before="200" w:after="100"/>
      <w:jc w:val="both"/>
      <w:outlineLvl w:val="2"/>
    </w:pPr>
    <w:rPr>
      <w:rFonts w:ascii="Arial" w:eastAsia="Arial" w:hAnsi="Arial" w:cs="Arial"/>
      <w:b/>
      <w:bCs/>
      <w:color w:val="1F4E7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ascii="Times New Roman" w:eastAsia="Times New Roman" w:hAnsi="Times New Roman" w:cs="Times New Roman"/>
      <w:color w:val="auto"/>
    </w:rPr>
  </w:style>
  <w:style w:type="character" w:styleId="Strong">
    <w:name w:val="Strong"/>
    <w:uiPriority w:val="22"/>
    <w:qFormat/>
    <w:rPr>
      <w:b/>
      <w:bCs/>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TOC1">
    <w:name w:val="toc 1"/>
    <w:basedOn w:val="Normal"/>
    <w:next w:val="Normal"/>
    <w:autoRedefine/>
    <w:uiPriority w:val="39"/>
    <w:unhideWhenUsed/>
    <w:pPr>
      <w:spacing w:after="100"/>
    </w:pPr>
  </w:style>
  <w:style w:type="character" w:customStyle="1" w:styleId="Heading1Char">
    <w:name w:val="Heading 1 Char"/>
    <w:link w:val="Heading1"/>
    <w:qFormat/>
    <w:rPr>
      <w:rFonts w:ascii="Arial" w:eastAsia="Arial" w:hAnsi="Arial" w:cs="Arial"/>
      <w:b/>
      <w:bCs/>
      <w:color w:val="FFFFFF"/>
      <w:sz w:val="28"/>
      <w:szCs w:val="28"/>
    </w:rPr>
  </w:style>
  <w:style w:type="character" w:customStyle="1" w:styleId="Heading2Char">
    <w:name w:val="Heading 2 Char"/>
    <w:link w:val="Heading2"/>
    <w:qFormat/>
    <w:rPr>
      <w:rFonts w:ascii="Arial" w:eastAsia="Arial" w:hAnsi="Arial" w:cs="Arial"/>
      <w:b/>
      <w:bCs/>
      <w:color w:val="2E75B6"/>
      <w:sz w:val="26"/>
      <w:szCs w:val="26"/>
    </w:rPr>
  </w:style>
  <w:style w:type="character" w:customStyle="1" w:styleId="Heading3Char">
    <w:name w:val="Heading 3 Char"/>
    <w:link w:val="Heading3"/>
    <w:qFormat/>
    <w:rPr>
      <w:rFonts w:ascii="Arial" w:eastAsia="Arial" w:hAnsi="Arial" w:cs="Arial"/>
      <w:b/>
      <w:bCs/>
      <w:color w:val="1F4E79"/>
      <w:sz w:val="24"/>
      <w:szCs w:val="24"/>
    </w:rPr>
  </w:style>
  <w:style w:type="character" w:customStyle="1" w:styleId="CommentTextChar">
    <w:name w:val="Comment Text Char"/>
    <w:link w:val="CommentText"/>
    <w:uiPriority w:val="99"/>
    <w:semiHidden/>
    <w:qFormat/>
    <w:rPr>
      <w:rFonts w:ascii="Arial" w:eastAsia="Arial" w:hAnsi="Arial" w:cs="Arial"/>
      <w:color w:val="404040"/>
      <w:sz w:val="20"/>
      <w:szCs w:val="20"/>
    </w:rPr>
  </w:style>
  <w:style w:type="character" w:customStyle="1" w:styleId="CommentSubjectChar">
    <w:name w:val="Comment Subject Char"/>
    <w:link w:val="CommentSubject"/>
    <w:uiPriority w:val="99"/>
    <w:semiHidden/>
    <w:qFormat/>
    <w:rPr>
      <w:rFonts w:ascii="Arial" w:eastAsia="Arial" w:hAnsi="Arial" w:cs="Arial"/>
      <w:b/>
      <w:bCs/>
      <w:color w:val="404040"/>
      <w:sz w:val="20"/>
      <w:szCs w:val="20"/>
    </w:rPr>
  </w:style>
  <w:style w:type="paragraph" w:styleId="ListParagraph">
    <w:name w:val="List Paragraph"/>
    <w:basedOn w:val="Normal"/>
    <w:qFormat/>
  </w:style>
  <w:style w:type="paragraph" w:customStyle="1" w:styleId="Revision1">
    <w:name w:val="Revision1"/>
    <w:uiPriority w:val="99"/>
    <w:semiHidden/>
    <w:qFormat/>
    <w:rPr>
      <w:rFonts w:ascii="Arial" w:eastAsia="Arial" w:hAnsi="Arial" w:cs="Arial"/>
      <w:color w:val="404040"/>
      <w:sz w:val="24"/>
      <w:szCs w:val="24"/>
    </w:rPr>
  </w:style>
  <w:style w:type="paragraph" w:customStyle="1" w:styleId="Style18">
    <w:name w:val="_Style 18"/>
    <w:hidden/>
    <w:uiPriority w:val="99"/>
    <w:unhideWhenUsed/>
    <w:rPr>
      <w:rFonts w:ascii="Arial" w:eastAsia="Arial" w:hAnsi="Arial" w:cs="Arial"/>
      <w:color w:val="404040"/>
      <w:sz w:val="24"/>
      <w:szCs w:val="24"/>
    </w:rPr>
  </w:style>
  <w:style w:type="character" w:customStyle="1" w:styleId="BalloonTextChar">
    <w:name w:val="Balloon Text Char"/>
    <w:basedOn w:val="DefaultParagraphFont"/>
    <w:link w:val="BalloonText"/>
    <w:uiPriority w:val="99"/>
    <w:semiHidden/>
    <w:rPr>
      <w:rFonts w:ascii="Segoe UI" w:eastAsia="Arial" w:hAnsi="Segoe UI" w:cs="Segoe UI"/>
      <w:color w:val="404040"/>
      <w:sz w:val="18"/>
      <w:szCs w:val="1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font-claude-response-body">
    <w:name w:val="font-claude-response-body"/>
    <w:basedOn w:val="Normal"/>
    <w:qFormat/>
    <w:pPr>
      <w:spacing w:before="100" w:beforeAutospacing="1" w:after="100" w:afterAutospacing="1" w:line="240" w:lineRule="auto"/>
      <w:jc w:val="left"/>
    </w:pPr>
    <w:rPr>
      <w:rFonts w:ascii="Times New Roman" w:eastAsia="Times New Roman" w:hAnsi="Times New Roman" w:cs="Times New Roman"/>
      <w:color w:val="auto"/>
    </w:rPr>
  </w:style>
  <w:style w:type="character" w:customStyle="1" w:styleId="FooterChar">
    <w:name w:val="Footer Char"/>
    <w:basedOn w:val="DefaultParagraphFont"/>
    <w:link w:val="Footer"/>
    <w:uiPriority w:val="99"/>
    <w:rPr>
      <w:rFonts w:ascii="Arial" w:eastAsia="Arial" w:hAnsi="Arial" w:cs="Arial"/>
      <w:color w:val="404040"/>
      <w:sz w:val="18"/>
      <w:szCs w:val="18"/>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rFonts w:ascii="Arial" w:eastAsia="Arial" w:hAnsi="Arial" w:cs="Arial"/>
      <w:color w:val="404040"/>
      <w:sz w:val="24"/>
      <w:szCs w:val="24"/>
    </w:rPr>
  </w:style>
  <w:style w:type="paragraph" w:styleId="Heading1">
    <w:name w:val="heading 1"/>
    <w:link w:val="Heading1Char"/>
    <w:qFormat/>
    <w:pPr>
      <w:spacing w:before="320" w:after="160"/>
      <w:jc w:val="both"/>
      <w:outlineLvl w:val="0"/>
    </w:pPr>
    <w:rPr>
      <w:rFonts w:ascii="Arial" w:eastAsia="Arial" w:hAnsi="Arial" w:cs="Arial"/>
      <w:b/>
      <w:bCs/>
      <w:color w:val="FFFFFF"/>
      <w:sz w:val="28"/>
      <w:szCs w:val="28"/>
    </w:rPr>
  </w:style>
  <w:style w:type="paragraph" w:styleId="Heading2">
    <w:name w:val="heading 2"/>
    <w:link w:val="Heading2Char"/>
    <w:qFormat/>
    <w:pPr>
      <w:spacing w:before="260" w:after="130"/>
      <w:jc w:val="both"/>
      <w:outlineLvl w:val="1"/>
    </w:pPr>
    <w:rPr>
      <w:rFonts w:ascii="Arial" w:eastAsia="Arial" w:hAnsi="Arial" w:cs="Arial"/>
      <w:b/>
      <w:bCs/>
      <w:color w:val="2E75B6"/>
      <w:sz w:val="26"/>
      <w:szCs w:val="26"/>
    </w:rPr>
  </w:style>
  <w:style w:type="paragraph" w:styleId="Heading3">
    <w:name w:val="heading 3"/>
    <w:link w:val="Heading3Char"/>
    <w:qFormat/>
    <w:pPr>
      <w:spacing w:before="200" w:after="100"/>
      <w:jc w:val="both"/>
      <w:outlineLvl w:val="2"/>
    </w:pPr>
    <w:rPr>
      <w:rFonts w:ascii="Arial" w:eastAsia="Arial" w:hAnsi="Arial" w:cs="Arial"/>
      <w:b/>
      <w:bCs/>
      <w:color w:val="1F4E7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ascii="Times New Roman" w:eastAsia="Times New Roman" w:hAnsi="Times New Roman" w:cs="Times New Roman"/>
      <w:color w:val="auto"/>
    </w:rPr>
  </w:style>
  <w:style w:type="character" w:styleId="Strong">
    <w:name w:val="Strong"/>
    <w:uiPriority w:val="22"/>
    <w:qFormat/>
    <w:rPr>
      <w:b/>
      <w:bCs/>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TOC1">
    <w:name w:val="toc 1"/>
    <w:basedOn w:val="Normal"/>
    <w:next w:val="Normal"/>
    <w:autoRedefine/>
    <w:uiPriority w:val="39"/>
    <w:unhideWhenUsed/>
    <w:pPr>
      <w:spacing w:after="100"/>
    </w:pPr>
  </w:style>
  <w:style w:type="character" w:customStyle="1" w:styleId="Heading1Char">
    <w:name w:val="Heading 1 Char"/>
    <w:link w:val="Heading1"/>
    <w:qFormat/>
    <w:rPr>
      <w:rFonts w:ascii="Arial" w:eastAsia="Arial" w:hAnsi="Arial" w:cs="Arial"/>
      <w:b/>
      <w:bCs/>
      <w:color w:val="FFFFFF"/>
      <w:sz w:val="28"/>
      <w:szCs w:val="28"/>
    </w:rPr>
  </w:style>
  <w:style w:type="character" w:customStyle="1" w:styleId="Heading2Char">
    <w:name w:val="Heading 2 Char"/>
    <w:link w:val="Heading2"/>
    <w:qFormat/>
    <w:rPr>
      <w:rFonts w:ascii="Arial" w:eastAsia="Arial" w:hAnsi="Arial" w:cs="Arial"/>
      <w:b/>
      <w:bCs/>
      <w:color w:val="2E75B6"/>
      <w:sz w:val="26"/>
      <w:szCs w:val="26"/>
    </w:rPr>
  </w:style>
  <w:style w:type="character" w:customStyle="1" w:styleId="Heading3Char">
    <w:name w:val="Heading 3 Char"/>
    <w:link w:val="Heading3"/>
    <w:qFormat/>
    <w:rPr>
      <w:rFonts w:ascii="Arial" w:eastAsia="Arial" w:hAnsi="Arial" w:cs="Arial"/>
      <w:b/>
      <w:bCs/>
      <w:color w:val="1F4E79"/>
      <w:sz w:val="24"/>
      <w:szCs w:val="24"/>
    </w:rPr>
  </w:style>
  <w:style w:type="character" w:customStyle="1" w:styleId="CommentTextChar">
    <w:name w:val="Comment Text Char"/>
    <w:link w:val="CommentText"/>
    <w:uiPriority w:val="99"/>
    <w:semiHidden/>
    <w:qFormat/>
    <w:rPr>
      <w:rFonts w:ascii="Arial" w:eastAsia="Arial" w:hAnsi="Arial" w:cs="Arial"/>
      <w:color w:val="404040"/>
      <w:sz w:val="20"/>
      <w:szCs w:val="20"/>
    </w:rPr>
  </w:style>
  <w:style w:type="character" w:customStyle="1" w:styleId="CommentSubjectChar">
    <w:name w:val="Comment Subject Char"/>
    <w:link w:val="CommentSubject"/>
    <w:uiPriority w:val="99"/>
    <w:semiHidden/>
    <w:qFormat/>
    <w:rPr>
      <w:rFonts w:ascii="Arial" w:eastAsia="Arial" w:hAnsi="Arial" w:cs="Arial"/>
      <w:b/>
      <w:bCs/>
      <w:color w:val="404040"/>
      <w:sz w:val="20"/>
      <w:szCs w:val="20"/>
    </w:rPr>
  </w:style>
  <w:style w:type="paragraph" w:styleId="ListParagraph">
    <w:name w:val="List Paragraph"/>
    <w:basedOn w:val="Normal"/>
    <w:qFormat/>
  </w:style>
  <w:style w:type="paragraph" w:customStyle="1" w:styleId="Revision1">
    <w:name w:val="Revision1"/>
    <w:uiPriority w:val="99"/>
    <w:semiHidden/>
    <w:qFormat/>
    <w:rPr>
      <w:rFonts w:ascii="Arial" w:eastAsia="Arial" w:hAnsi="Arial" w:cs="Arial"/>
      <w:color w:val="404040"/>
      <w:sz w:val="24"/>
      <w:szCs w:val="24"/>
    </w:rPr>
  </w:style>
  <w:style w:type="paragraph" w:customStyle="1" w:styleId="Style18">
    <w:name w:val="_Style 18"/>
    <w:hidden/>
    <w:uiPriority w:val="99"/>
    <w:unhideWhenUsed/>
    <w:rPr>
      <w:rFonts w:ascii="Arial" w:eastAsia="Arial" w:hAnsi="Arial" w:cs="Arial"/>
      <w:color w:val="404040"/>
      <w:sz w:val="24"/>
      <w:szCs w:val="24"/>
    </w:rPr>
  </w:style>
  <w:style w:type="character" w:customStyle="1" w:styleId="BalloonTextChar">
    <w:name w:val="Balloon Text Char"/>
    <w:basedOn w:val="DefaultParagraphFont"/>
    <w:link w:val="BalloonText"/>
    <w:uiPriority w:val="99"/>
    <w:semiHidden/>
    <w:rPr>
      <w:rFonts w:ascii="Segoe UI" w:eastAsia="Arial" w:hAnsi="Segoe UI" w:cs="Segoe UI"/>
      <w:color w:val="404040"/>
      <w:sz w:val="18"/>
      <w:szCs w:val="1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font-claude-response-body">
    <w:name w:val="font-claude-response-body"/>
    <w:basedOn w:val="Normal"/>
    <w:qFormat/>
    <w:pPr>
      <w:spacing w:before="100" w:beforeAutospacing="1" w:after="100" w:afterAutospacing="1" w:line="240" w:lineRule="auto"/>
      <w:jc w:val="left"/>
    </w:pPr>
    <w:rPr>
      <w:rFonts w:ascii="Times New Roman" w:eastAsia="Times New Roman" w:hAnsi="Times New Roman" w:cs="Times New Roman"/>
      <w:color w:val="auto"/>
    </w:rPr>
  </w:style>
  <w:style w:type="character" w:customStyle="1" w:styleId="FooterChar">
    <w:name w:val="Footer Char"/>
    <w:basedOn w:val="DefaultParagraphFont"/>
    <w:link w:val="Footer"/>
    <w:uiPriority w:val="99"/>
    <w:rPr>
      <w:rFonts w:ascii="Arial" w:eastAsia="Arial" w:hAnsi="Arial" w:cs="Arial"/>
      <w:color w:val="404040"/>
      <w:sz w:val="18"/>
      <w:szCs w:val="18"/>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C377-7FE2-4261-8E5E-00443096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17</Pages>
  <Words>5034</Words>
  <Characters>28697</Characters>
  <Application>Microsoft Office Word</Application>
  <DocSecurity>0</DocSecurity>
  <Lines>239</Lines>
  <Paragraphs>67</Paragraphs>
  <ScaleCrop>false</ScaleCrop>
  <Company>HP</Company>
  <LinksUpToDate>false</LinksUpToDate>
  <CharactersWithSpaces>33664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2026-06-06T02:40:00Z</dcterms:created>
  <dcterms:modified xsi:type="dcterms:W3CDTF">2026-06-19T00:15:00Z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eyJoZGlkIjoiMWJmYmVhMGQ2YWQwOTc0ZDFkYmVkZTE0NzFkNThlYzIiLCJ1c2VySWQiOiIxNDMxMTU2NTk2NjUzOSJ9</vt:lpwstr>
  </property>
  <property fmtid="{D5CDD505-2E9C-101B-9397-08002B2CF9AE}" pid="3" name="KSOProductBuildVer">
    <vt:lpwstr>1033-12.1.0.26880</vt:lpwstr>
  </property>
  <property fmtid="{D5CDD505-2E9C-101B-9397-08002B2CF9AE}" pid="4" name="ICV">
    <vt:lpwstr>6BEDFDD202CD4ED898E4C7A0843B0CCB_13</vt:lpwstr>
  </property>
</Properties>
</file>